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AC112">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0" w:firstLineChars="0"/>
        <w:textAlignment w:val="baseline"/>
        <w:rPr>
          <w:rFonts w:hint="default" w:eastAsia="仿宋_GB2312"/>
          <w:color w:val="auto"/>
          <w:lang w:val="en-US" w:eastAsia="zh-CN"/>
        </w:rPr>
      </w:pPr>
      <w:r>
        <w:rPr>
          <w:rFonts w:hint="eastAsia" w:ascii="黑体" w:hAnsi="黑体" w:eastAsia="黑体" w:cs="黑体"/>
          <w:color w:val="auto"/>
          <w:lang w:val="en-US" w:eastAsia="zh-CN"/>
        </w:rPr>
        <w:t>附件</w:t>
      </w:r>
    </w:p>
    <w:p w14:paraId="286842DC">
      <w:pPr>
        <w:pStyle w:val="4"/>
        <w:keepNext w:val="0"/>
        <w:keepLines w:val="0"/>
        <w:pageBreakBefore w:val="0"/>
        <w:widowControl w:val="0"/>
        <w:kinsoku/>
        <w:wordWrap/>
        <w:overflowPunct w:val="0"/>
        <w:topLinePunct w:val="0"/>
        <w:autoSpaceDE/>
        <w:autoSpaceDN/>
        <w:bidi w:val="0"/>
        <w:adjustRightInd w:val="0"/>
        <w:snapToGrid w:val="0"/>
        <w:spacing w:line="560" w:lineRule="exact"/>
        <w:textAlignment w:val="baseline"/>
        <w:rPr>
          <w:rFonts w:hint="eastAsia" w:eastAsia="仿宋_GB2312"/>
          <w:color w:val="auto"/>
          <w:lang w:val="en-US" w:eastAsia="zh-CN"/>
        </w:rPr>
      </w:pPr>
      <w:r>
        <w:rPr>
          <w:rFonts w:hint="eastAsia"/>
          <w:color w:val="auto"/>
          <w:lang w:val="en-US" w:eastAsia="zh-CN"/>
        </w:rPr>
        <w:t xml:space="preserve"> </w:t>
      </w:r>
    </w:p>
    <w:p w14:paraId="22EEC812">
      <w:pPr>
        <w:keepNext w:val="0"/>
        <w:keepLines w:val="0"/>
        <w:pageBreakBefore w:val="0"/>
        <w:widowControl w:val="0"/>
        <w:kinsoku/>
        <w:wordWrap/>
        <w:overflowPunct w:val="0"/>
        <w:topLinePunct w:val="0"/>
        <w:autoSpaceDE/>
        <w:autoSpaceDN/>
        <w:bidi w:val="0"/>
        <w:adjustRightInd w:val="0"/>
        <w:snapToGrid w:val="0"/>
        <w:spacing w:line="660" w:lineRule="exact"/>
        <w:ind w:left="0" w:firstLine="0" w:firstLineChars="0"/>
        <w:jc w:val="center"/>
        <w:textAlignment w:val="baseline"/>
        <w:rPr>
          <w:rFonts w:ascii="方正小标宋_GBK" w:hAnsi="方正小标宋_GBK" w:eastAsia="方正小标宋_GBK" w:cs="方正小标宋_GBK"/>
          <w:spacing w:val="9"/>
          <w:sz w:val="44"/>
          <w:szCs w:val="44"/>
        </w:rPr>
      </w:pPr>
      <w:r>
        <w:rPr>
          <w:rFonts w:ascii="方正小标宋_GBK" w:hAnsi="方正小标宋_GBK" w:eastAsia="方正小标宋_GBK" w:cs="方正小标宋_GBK"/>
          <w:spacing w:val="9"/>
          <w:sz w:val="44"/>
          <w:szCs w:val="44"/>
        </w:rPr>
        <w:t>全国统一电力市场信用评价指引</w:t>
      </w:r>
    </w:p>
    <w:p w14:paraId="78EEE188">
      <w:pPr>
        <w:keepNext w:val="0"/>
        <w:keepLines w:val="0"/>
        <w:pageBreakBefore w:val="0"/>
        <w:widowControl w:val="0"/>
        <w:kinsoku/>
        <w:wordWrap/>
        <w:overflowPunct w:val="0"/>
        <w:topLinePunct w:val="0"/>
        <w:autoSpaceDE/>
        <w:autoSpaceDN/>
        <w:bidi w:val="0"/>
        <w:adjustRightInd w:val="0"/>
        <w:snapToGrid w:val="0"/>
        <w:spacing w:line="660" w:lineRule="exact"/>
        <w:ind w:left="0" w:firstLine="0" w:firstLineChars="0"/>
        <w:jc w:val="center"/>
        <w:textAlignment w:val="baseline"/>
        <w:rPr>
          <w:rFonts w:hint="eastAsia" w:ascii="楷体" w:hAnsi="楷体" w:eastAsia="楷体" w:cs="楷体"/>
          <w:spacing w:val="9"/>
          <w:sz w:val="32"/>
          <w:szCs w:val="32"/>
          <w:lang w:val="en-US" w:eastAsia="zh-CN"/>
        </w:rPr>
      </w:pPr>
      <w:r>
        <w:rPr>
          <w:rFonts w:hint="eastAsia" w:ascii="楷体" w:hAnsi="楷体" w:eastAsia="楷体" w:cs="楷体"/>
          <w:spacing w:val="9"/>
          <w:sz w:val="32"/>
          <w:szCs w:val="32"/>
          <w:lang w:eastAsia="zh-CN"/>
        </w:rPr>
        <w:t>（</w:t>
      </w:r>
      <w:r>
        <w:rPr>
          <w:rFonts w:hint="eastAsia" w:ascii="楷体" w:hAnsi="楷体" w:eastAsia="楷体" w:cs="楷体"/>
          <w:spacing w:val="9"/>
          <w:sz w:val="32"/>
          <w:szCs w:val="32"/>
          <w:lang w:val="en-US" w:eastAsia="zh-CN"/>
        </w:rPr>
        <w:t>征求意见稿）</w:t>
      </w:r>
    </w:p>
    <w:p w14:paraId="580DD27C">
      <w:pPr>
        <w:pStyle w:val="2"/>
        <w:keepNext w:val="0"/>
        <w:keepLines w:val="0"/>
        <w:pageBreakBefore w:val="0"/>
        <w:wordWrap/>
        <w:topLinePunct w:val="0"/>
        <w:bidi w:val="0"/>
        <w:adjustRightInd w:val="0"/>
        <w:snapToGrid w:val="0"/>
        <w:spacing w:line="560" w:lineRule="exact"/>
        <w:textAlignment w:val="baseline"/>
        <w:rPr>
          <w:rFonts w:hint="default"/>
          <w:sz w:val="32"/>
          <w:szCs w:val="32"/>
          <w:lang w:val="en-US" w:eastAsia="zh-CN"/>
        </w:rPr>
      </w:pPr>
    </w:p>
    <w:p w14:paraId="12607D6B">
      <w:pPr>
        <w:rPr>
          <w:rFonts w:hint="default"/>
          <w:lang w:val="en-US" w:eastAsia="zh-CN"/>
        </w:rPr>
      </w:pPr>
    </w:p>
    <w:p w14:paraId="1D2927D2">
      <w:pPr>
        <w:keepNext w:val="0"/>
        <w:keepLines w:val="0"/>
        <w:pageBreakBefore w:val="0"/>
        <w:widowControl w:val="0"/>
        <w:kinsoku/>
        <w:wordWrap/>
        <w:overflowPunct w:val="0"/>
        <w:topLinePunct w:val="0"/>
        <w:autoSpaceDE/>
        <w:autoSpaceDN/>
        <w:bidi w:val="0"/>
        <w:adjustRightInd w:val="0"/>
        <w:snapToGrid w:val="0"/>
        <w:spacing w:before="0" w:after="0" w:line="560" w:lineRule="exact"/>
        <w:ind w:left="0"/>
        <w:jc w:val="center"/>
        <w:textAlignment w:val="baseline"/>
        <w:outlineLvl w:val="0"/>
        <w:rPr>
          <w:rFonts w:ascii="黑体" w:hAnsi="黑体" w:eastAsia="黑体" w:cs="黑体"/>
          <w:sz w:val="32"/>
          <w:szCs w:val="32"/>
        </w:rPr>
      </w:pPr>
      <w:r>
        <w:rPr>
          <w:rFonts w:ascii="黑体" w:hAnsi="黑体" w:eastAsia="黑体" w:cs="黑体"/>
          <w:spacing w:val="3"/>
          <w:sz w:val="32"/>
          <w:szCs w:val="32"/>
        </w:rPr>
        <w:t>第一章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总</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则</w:t>
      </w:r>
    </w:p>
    <w:p w14:paraId="6601D308">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第一条</w:t>
      </w:r>
      <w:r>
        <w:rPr>
          <w:rFonts w:hint="eastAsia" w:ascii="Times New Roman" w:hAnsi="Times New Roman" w:eastAsia="仿宋" w:cs="Times New Roman"/>
          <w:color w:val="auto"/>
          <w:lang w:val="en-US" w:eastAsia="zh-CN"/>
        </w:rPr>
        <w:t xml:space="preserve">  为加快建设</w:t>
      </w:r>
      <w:r>
        <w:rPr>
          <w:rFonts w:hint="default" w:ascii="Times New Roman" w:hAnsi="Times New Roman" w:eastAsia="仿宋" w:cs="Times New Roman"/>
          <w:color w:val="auto"/>
          <w:lang w:eastAsia="zh-CN"/>
        </w:rPr>
        <w:t>全国统一电力市场</w:t>
      </w:r>
      <w:r>
        <w:rPr>
          <w:rFonts w:hint="eastAsia" w:ascii="Times New Roman" w:hAnsi="Times New Roman" w:eastAsia="仿宋" w:cs="Times New Roman"/>
          <w:color w:val="auto"/>
          <w:lang w:val="en-US" w:eastAsia="zh-CN"/>
        </w:rPr>
        <w:t>信用体系，</w:t>
      </w:r>
      <w:r>
        <w:rPr>
          <w:rFonts w:hint="default" w:ascii="Times New Roman" w:hAnsi="Times New Roman" w:eastAsia="仿宋" w:cs="Times New Roman"/>
          <w:color w:val="auto"/>
          <w:lang w:eastAsia="zh-CN"/>
        </w:rPr>
        <w:t>充分发挥信用手段在创新监管、破除信息壁垒、规范交易行为、激发市场活力等</w:t>
      </w:r>
      <w:r>
        <w:rPr>
          <w:rFonts w:hint="eastAsia" w:ascii="Times New Roman" w:hAnsi="Times New Roman" w:eastAsia="仿宋" w:cs="Times New Roman"/>
          <w:color w:val="auto"/>
          <w:lang w:val="en-US" w:eastAsia="zh-CN"/>
        </w:rPr>
        <w:t>方面的</w:t>
      </w:r>
      <w:r>
        <w:rPr>
          <w:rFonts w:hint="default" w:ascii="Times New Roman" w:hAnsi="Times New Roman" w:eastAsia="仿宋" w:cs="Times New Roman"/>
          <w:color w:val="auto"/>
          <w:lang w:eastAsia="zh-CN"/>
        </w:rPr>
        <w:t>作用，促进全国统一电力市场高质量发展，根据《国务院办公厅关于完善全国统一电力市场体系的实施意见》（国办发〔2026〕4号）</w:t>
      </w:r>
      <w:r>
        <w:rPr>
          <w:rFonts w:hint="eastAsia" w:ascii="Times New Roman" w:hAnsi="Times New Roman" w:eastAsia="仿宋" w:cs="Times New Roman"/>
          <w:color w:val="auto"/>
          <w:lang w:eastAsia="zh-CN"/>
        </w:rPr>
        <w:t>、《国务院办公厅印发</w:t>
      </w:r>
      <w:r>
        <w:rPr>
          <w:rFonts w:hint="eastAsia" w:ascii="仿宋" w:hAnsi="仿宋" w:eastAsia="仿宋" w:cs="仿宋"/>
          <w:color w:val="auto"/>
          <w:lang w:val="en-US" w:eastAsia="zh-CN"/>
        </w:rPr>
        <w:t>〈</w:t>
      </w:r>
      <w:r>
        <w:rPr>
          <w:rFonts w:hint="eastAsia" w:ascii="Times New Roman" w:hAnsi="Times New Roman" w:eastAsia="仿宋" w:cs="Times New Roman"/>
          <w:color w:val="auto"/>
          <w:lang w:eastAsia="zh-CN"/>
        </w:rPr>
        <w:t>关于建立企业信用状况综合评价体系的实施方案</w:t>
      </w:r>
      <w:r>
        <w:rPr>
          <w:rFonts w:hint="eastAsia" w:ascii="仿宋" w:hAnsi="仿宋" w:eastAsia="仿宋" w:cs="仿宋"/>
          <w:color w:val="auto"/>
          <w:lang w:val="en-US" w:eastAsia="zh-CN"/>
        </w:rPr>
        <w:t>〉</w:t>
      </w:r>
      <w:r>
        <w:rPr>
          <w:rFonts w:hint="eastAsia" w:ascii="Times New Roman" w:hAnsi="Times New Roman" w:eastAsia="仿宋" w:cs="Times New Roman"/>
          <w:color w:val="auto"/>
          <w:lang w:eastAsia="zh-CN"/>
        </w:rPr>
        <w:t>的通知》（国办发〔2026〕</w:t>
      </w:r>
      <w:r>
        <w:rPr>
          <w:rFonts w:hint="eastAsia" w:ascii="Times New Roman" w:hAnsi="Times New Roman" w:eastAsia="仿宋" w:cs="Times New Roman"/>
          <w:color w:val="auto"/>
          <w:lang w:val="en-US" w:eastAsia="zh-CN"/>
        </w:rPr>
        <w:t>8</w:t>
      </w:r>
      <w:r>
        <w:rPr>
          <w:rFonts w:hint="eastAsia" w:ascii="Times New Roman" w:hAnsi="Times New Roman" w:eastAsia="仿宋" w:cs="Times New Roman"/>
          <w:color w:val="auto"/>
          <w:lang w:eastAsia="zh-CN"/>
        </w:rPr>
        <w:t>号）</w:t>
      </w:r>
      <w:r>
        <w:rPr>
          <w:rFonts w:hint="default" w:ascii="Times New Roman" w:hAnsi="Times New Roman" w:eastAsia="仿宋" w:cs="Times New Roman"/>
          <w:color w:val="auto"/>
          <w:lang w:eastAsia="zh-CN"/>
        </w:rPr>
        <w:t>等有关文件</w:t>
      </w:r>
      <w:r>
        <w:rPr>
          <w:rFonts w:hint="default" w:ascii="Times New Roman" w:hAnsi="Times New Roman" w:eastAsia="仿宋" w:cs="Times New Roman"/>
          <w:color w:val="auto"/>
          <w:lang w:val="en-US" w:eastAsia="zh-CN"/>
        </w:rPr>
        <w:t>精神</w:t>
      </w:r>
      <w:r>
        <w:rPr>
          <w:rFonts w:hint="default" w:ascii="Times New Roman" w:hAnsi="Times New Roman" w:eastAsia="仿宋" w:cs="Times New Roman"/>
          <w:color w:val="auto"/>
          <w:lang w:eastAsia="zh-CN"/>
        </w:rPr>
        <w:t>，结合电力市场实际，制定本指引。</w:t>
      </w:r>
    </w:p>
    <w:p w14:paraId="43D106FC">
      <w:pPr>
        <w:pStyle w:val="4"/>
        <w:keepNext w:val="0"/>
        <w:keepLines w:val="0"/>
        <w:pageBreakBefore w:val="0"/>
        <w:widowControl w:val="0"/>
        <w:kinsoku/>
        <w:wordWrap/>
        <w:overflowPunct w:val="0"/>
        <w:topLinePunct w:val="0"/>
        <w:autoSpaceDE/>
        <w:autoSpaceDN/>
        <w:bidi w:val="0"/>
        <w:adjustRightInd w:val="0"/>
        <w:snapToGrid w:val="0"/>
        <w:spacing w:line="560" w:lineRule="exact"/>
        <w:jc w:val="both"/>
        <w:textAlignment w:val="baseline"/>
        <w:rPr>
          <w:rFonts w:hint="default" w:ascii="Times New Roman" w:hAnsi="Times New Roman" w:eastAsia="仿宋" w:cs="Times New Roman"/>
          <w:color w:val="auto"/>
          <w:lang w:eastAsia="zh-CN"/>
        </w:rPr>
      </w:pPr>
      <w:r>
        <w:rPr>
          <w:rFonts w:hint="default" w:ascii="黑体" w:hAnsi="黑体" w:eastAsia="黑体" w:cs="黑体"/>
          <w:color w:val="auto"/>
          <w:lang w:val="en-US" w:eastAsia="zh-CN"/>
        </w:rPr>
        <w:t>第二条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eastAsia="zh-CN"/>
        </w:rPr>
        <w:t>本指引适用于</w:t>
      </w:r>
      <w:r>
        <w:rPr>
          <w:rFonts w:hint="eastAsia" w:ascii="Times New Roman" w:hAnsi="Times New Roman" w:eastAsia="仿宋" w:cs="Times New Roman"/>
          <w:color w:val="auto"/>
          <w:lang w:eastAsia="zh-CN"/>
        </w:rPr>
        <w:t>在</w:t>
      </w:r>
      <w:r>
        <w:rPr>
          <w:rFonts w:hint="default" w:ascii="Times New Roman" w:hAnsi="Times New Roman" w:eastAsia="仿宋" w:cs="Times New Roman"/>
          <w:color w:val="auto"/>
          <w:lang w:eastAsia="zh-CN"/>
        </w:rPr>
        <w:t>全国</w:t>
      </w:r>
      <w:r>
        <w:rPr>
          <w:rFonts w:hint="eastAsia" w:ascii="Times New Roman" w:hAnsi="Times New Roman" w:eastAsia="仿宋" w:cs="Times New Roman"/>
          <w:color w:val="auto"/>
          <w:lang w:eastAsia="zh-CN"/>
        </w:rPr>
        <w:t>统一</w:t>
      </w:r>
      <w:r>
        <w:rPr>
          <w:rFonts w:hint="default" w:ascii="Times New Roman" w:hAnsi="Times New Roman" w:eastAsia="仿宋" w:cs="Times New Roman"/>
          <w:color w:val="auto"/>
          <w:lang w:eastAsia="zh-CN"/>
        </w:rPr>
        <w:t>电力市场注册</w:t>
      </w:r>
      <w:r>
        <w:rPr>
          <w:rFonts w:hint="eastAsia" w:ascii="Times New Roman" w:hAnsi="Times New Roman" w:eastAsia="仿宋" w:cs="Times New Roman"/>
          <w:color w:val="auto"/>
          <w:lang w:eastAsia="zh-CN"/>
        </w:rPr>
        <w:t>的</w:t>
      </w:r>
      <w:r>
        <w:rPr>
          <w:rFonts w:hint="default" w:ascii="Times New Roman" w:hAnsi="Times New Roman" w:eastAsia="仿宋" w:cs="Times New Roman"/>
          <w:color w:val="auto"/>
          <w:lang w:eastAsia="zh-CN"/>
        </w:rPr>
        <w:t>经营主体，包括发电企业、售电公司、电力用户、新型经营主体（含新型储能企业、虚拟电厂等）等。</w:t>
      </w:r>
    </w:p>
    <w:p w14:paraId="542D8454">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52"/>
        <w:jc w:val="both"/>
        <w:textAlignment w:val="baseline"/>
        <w:rPr>
          <w:rFonts w:hint="eastAsia" w:ascii="黑体" w:hAnsi="黑体" w:eastAsia="黑体" w:cs="黑体"/>
          <w:spacing w:val="3"/>
          <w:sz w:val="32"/>
          <w:szCs w:val="32"/>
          <w:lang w:val="en-US" w:eastAsia="zh-CN"/>
        </w:rPr>
      </w:pPr>
      <w:r>
        <w:rPr>
          <w:rFonts w:hint="default" w:ascii="黑体" w:hAnsi="黑体" w:eastAsia="黑体" w:cs="黑体"/>
          <w:color w:val="auto"/>
          <w:lang w:val="en-US" w:eastAsia="zh-CN"/>
        </w:rPr>
        <w:t>第</w:t>
      </w:r>
      <w:r>
        <w:rPr>
          <w:rFonts w:hint="eastAsia" w:ascii="黑体" w:hAnsi="黑体" w:eastAsia="黑体" w:cs="黑体"/>
          <w:color w:val="auto"/>
          <w:lang w:val="en-US" w:eastAsia="zh-CN"/>
        </w:rPr>
        <w:t>三</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eastAsia="zh-CN"/>
        </w:rPr>
        <w:t>全国统一电力市场信用评价遵循“</w:t>
      </w:r>
      <w:r>
        <w:rPr>
          <w:rFonts w:hint="default" w:ascii="Times New Roman" w:hAnsi="Times New Roman" w:eastAsia="仿宋" w:cs="Times New Roman"/>
          <w:color w:val="auto"/>
          <w:lang w:val="en-US" w:eastAsia="zh-CN"/>
        </w:rPr>
        <w:t>依法规范、</w:t>
      </w:r>
      <w:r>
        <w:rPr>
          <w:rFonts w:hint="default" w:ascii="Times New Roman" w:hAnsi="Times New Roman" w:eastAsia="仿宋" w:cs="Times New Roman"/>
          <w:color w:val="auto"/>
          <w:lang w:eastAsia="zh-CN"/>
        </w:rPr>
        <w:t>公开透明、动态</w:t>
      </w:r>
      <w:r>
        <w:rPr>
          <w:rFonts w:hint="default" w:ascii="Times New Roman" w:hAnsi="Times New Roman" w:eastAsia="仿宋" w:cs="Times New Roman"/>
          <w:color w:val="auto"/>
          <w:lang w:val="en-US" w:eastAsia="zh-CN"/>
        </w:rPr>
        <w:t>调整</w:t>
      </w:r>
      <w:r>
        <w:rPr>
          <w:rFonts w:hint="default" w:ascii="Times New Roman" w:hAnsi="Times New Roman" w:eastAsia="仿宋" w:cs="Times New Roman"/>
          <w:color w:val="auto"/>
          <w:lang w:eastAsia="zh-CN"/>
        </w:rPr>
        <w:t>、协同联动”的原则，实行</w:t>
      </w:r>
      <w:r>
        <w:rPr>
          <w:rFonts w:hint="default" w:ascii="Times New Roman" w:hAnsi="Times New Roman" w:eastAsia="仿宋" w:cs="Times New Roman"/>
          <w:color w:val="auto"/>
          <w:lang w:val="en-US" w:eastAsia="zh-CN"/>
        </w:rPr>
        <w:t>统一评价规则、评价结果全国通用</w:t>
      </w:r>
      <w:r>
        <w:rPr>
          <w:rFonts w:hint="default" w:ascii="Times New Roman" w:hAnsi="Times New Roman" w:eastAsia="仿宋" w:cs="Times New Roman"/>
          <w:color w:val="auto"/>
          <w:lang w:eastAsia="zh-CN"/>
        </w:rPr>
        <w:t>，强化激励</w:t>
      </w:r>
      <w:r>
        <w:rPr>
          <w:rFonts w:hint="default" w:ascii="Times New Roman" w:hAnsi="Times New Roman" w:eastAsia="仿宋" w:cs="Times New Roman"/>
          <w:color w:val="auto"/>
          <w:lang w:val="en-US" w:eastAsia="zh-CN"/>
        </w:rPr>
        <w:t>约束</w:t>
      </w:r>
      <w:r>
        <w:rPr>
          <w:rFonts w:hint="default" w:ascii="Times New Roman" w:hAnsi="Times New Roman" w:eastAsia="仿宋" w:cs="Times New Roman"/>
          <w:color w:val="auto"/>
          <w:lang w:eastAsia="zh-CN"/>
        </w:rPr>
        <w:t>并重，促进资源优化配置，营造诚信市场环境。</w:t>
      </w:r>
    </w:p>
    <w:p w14:paraId="32FDAC7B">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eastAsia" w:ascii="Times New Roman" w:hAnsi="Times New Roman" w:eastAsia="仿宋" w:cs="Times New Roman"/>
          <w:color w:val="auto"/>
          <w:lang w:eastAsia="zh-CN"/>
        </w:rPr>
      </w:pPr>
      <w:r>
        <w:rPr>
          <w:rFonts w:hint="eastAsia" w:ascii="黑体" w:hAnsi="黑体" w:eastAsia="黑体" w:cs="黑体"/>
          <w:color w:val="auto"/>
          <w:lang w:val="en-US" w:eastAsia="zh-CN"/>
        </w:rPr>
        <w:t>第四条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eastAsia="zh-CN"/>
        </w:rPr>
        <w:t>国家能源局负责全国电力市场信用体系</w:t>
      </w:r>
      <w:r>
        <w:rPr>
          <w:rFonts w:hint="eastAsia" w:ascii="Times New Roman" w:hAnsi="Times New Roman" w:eastAsia="仿宋" w:cs="Times New Roman"/>
          <w:color w:val="auto"/>
          <w:lang w:val="en-US" w:eastAsia="zh-CN"/>
        </w:rPr>
        <w:t>建设</w:t>
      </w:r>
      <w:r>
        <w:rPr>
          <w:rFonts w:hint="default" w:ascii="Times New Roman" w:hAnsi="Times New Roman" w:eastAsia="仿宋" w:cs="Times New Roman"/>
          <w:color w:val="auto"/>
          <w:lang w:eastAsia="zh-CN"/>
        </w:rPr>
        <w:t>的顶层设计</w:t>
      </w:r>
      <w:r>
        <w:rPr>
          <w:rFonts w:hint="eastAsia" w:ascii="Times New Roman" w:hAnsi="Times New Roman" w:eastAsia="仿宋" w:cs="Times New Roman"/>
          <w:color w:val="auto"/>
          <w:lang w:eastAsia="zh-CN"/>
        </w:rPr>
        <w:t>，</w:t>
      </w:r>
      <w:r>
        <w:rPr>
          <w:rFonts w:hint="default" w:ascii="Times New Roman" w:hAnsi="Times New Roman" w:eastAsia="仿宋" w:cs="Times New Roman"/>
          <w:color w:val="auto"/>
          <w:lang w:eastAsia="zh-CN"/>
        </w:rPr>
        <w:t>制定</w:t>
      </w:r>
      <w:r>
        <w:rPr>
          <w:rFonts w:hint="default" w:ascii="Times New Roman" w:hAnsi="Times New Roman" w:eastAsia="仿宋" w:cs="Times New Roman"/>
          <w:color w:val="auto"/>
          <w:lang w:val="en-US" w:eastAsia="zh-CN"/>
        </w:rPr>
        <w:t>全国统一的评价指标、评价</w:t>
      </w:r>
      <w:r>
        <w:rPr>
          <w:rFonts w:hint="eastAsia" w:ascii="Times New Roman" w:hAnsi="Times New Roman" w:eastAsia="仿宋" w:cs="Times New Roman"/>
          <w:color w:val="auto"/>
          <w:lang w:val="en-US" w:eastAsia="zh-CN"/>
        </w:rPr>
        <w:t>周期</w:t>
      </w:r>
      <w:r>
        <w:rPr>
          <w:rFonts w:hint="default" w:ascii="Times New Roman" w:hAnsi="Times New Roman" w:eastAsia="仿宋" w:cs="Times New Roman"/>
          <w:color w:val="auto"/>
          <w:lang w:val="en-US" w:eastAsia="zh-CN"/>
        </w:rPr>
        <w:t>等</w:t>
      </w:r>
      <w:r>
        <w:rPr>
          <w:rFonts w:hint="eastAsia" w:ascii="Times New Roman" w:hAnsi="Times New Roman" w:eastAsia="仿宋" w:cs="Times New Roman"/>
          <w:color w:val="auto"/>
          <w:lang w:val="en-US" w:eastAsia="zh-CN"/>
        </w:rPr>
        <w:t>评价规则</w:t>
      </w:r>
      <w:r>
        <w:rPr>
          <w:rFonts w:hint="eastAsia" w:ascii="Times New Roman" w:hAnsi="Times New Roman" w:eastAsia="仿宋" w:cs="Times New Roman"/>
          <w:color w:val="auto"/>
          <w:lang w:eastAsia="zh-CN"/>
        </w:rPr>
        <w:t>，</w:t>
      </w:r>
      <w:r>
        <w:rPr>
          <w:rFonts w:hint="default" w:ascii="Times New Roman" w:hAnsi="Times New Roman" w:eastAsia="仿宋" w:cs="Times New Roman"/>
          <w:color w:val="auto"/>
          <w:lang w:eastAsia="zh-CN"/>
        </w:rPr>
        <w:t>统筹管理全国统一</w:t>
      </w:r>
      <w:r>
        <w:rPr>
          <w:rFonts w:hint="default" w:ascii="Times New Roman" w:hAnsi="Times New Roman" w:eastAsia="仿宋" w:cs="Times New Roman"/>
          <w:color w:val="auto"/>
          <w:lang w:val="en-US" w:eastAsia="zh-CN"/>
        </w:rPr>
        <w:t>电力市场</w:t>
      </w:r>
      <w:r>
        <w:rPr>
          <w:rFonts w:hint="default" w:ascii="Times New Roman" w:hAnsi="Times New Roman" w:eastAsia="仿宋" w:cs="Times New Roman"/>
          <w:color w:val="auto"/>
          <w:lang w:eastAsia="zh-CN"/>
        </w:rPr>
        <w:t>信用评价</w:t>
      </w:r>
      <w:r>
        <w:rPr>
          <w:rFonts w:hint="default" w:ascii="Times New Roman" w:hAnsi="Times New Roman" w:eastAsia="仿宋" w:cs="Times New Roman"/>
          <w:color w:val="auto"/>
          <w:lang w:val="en-US" w:eastAsia="zh-CN"/>
        </w:rPr>
        <w:t>及应用</w:t>
      </w:r>
      <w:r>
        <w:rPr>
          <w:rFonts w:hint="default" w:ascii="Times New Roman" w:hAnsi="Times New Roman" w:eastAsia="仿宋" w:cs="Times New Roman"/>
          <w:color w:val="auto"/>
          <w:lang w:eastAsia="zh-CN"/>
        </w:rPr>
        <w:t>工作</w:t>
      </w:r>
      <w:r>
        <w:rPr>
          <w:rFonts w:hint="eastAsia" w:ascii="Times New Roman" w:hAnsi="Times New Roman" w:eastAsia="仿宋" w:cs="Times New Roman"/>
          <w:color w:val="auto"/>
          <w:lang w:val="en-US" w:eastAsia="zh-CN"/>
        </w:rPr>
        <w:t>。</w:t>
      </w:r>
    </w:p>
    <w:p w14:paraId="45FABF81">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省级能源主管部门会同相关部门、国家能源局派出机构组织指导电力交易机构开展辖区内电力市场信用评价及应用工作。</w:t>
      </w:r>
    </w:p>
    <w:p w14:paraId="5191CDA7">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电力交易机构依托电力交易</w:t>
      </w:r>
      <w:r>
        <w:rPr>
          <w:rFonts w:hint="eastAsia" w:ascii="Times New Roman" w:hAnsi="Times New Roman" w:eastAsia="仿宋" w:cs="Times New Roman"/>
          <w:color w:val="auto"/>
          <w:lang w:val="en-US" w:eastAsia="zh-CN"/>
        </w:rPr>
        <w:t>平台</w:t>
      </w:r>
      <w:r>
        <w:rPr>
          <w:rFonts w:hint="default" w:ascii="Times New Roman" w:hAnsi="Times New Roman" w:eastAsia="仿宋" w:cs="Times New Roman"/>
          <w:color w:val="auto"/>
          <w:lang w:val="en-US" w:eastAsia="zh-CN"/>
        </w:rPr>
        <w:t>做好电力市场信用评价及应用的技术支持和市场服务，</w:t>
      </w:r>
      <w:r>
        <w:rPr>
          <w:rFonts w:hint="eastAsia" w:ascii="Times New Roman" w:hAnsi="Times New Roman" w:eastAsia="仿宋" w:cs="Times New Roman"/>
          <w:color w:val="auto"/>
          <w:lang w:val="en-US" w:eastAsia="zh-CN"/>
        </w:rPr>
        <w:t>按要求</w:t>
      </w:r>
      <w:r>
        <w:rPr>
          <w:rFonts w:hint="default" w:ascii="Times New Roman" w:hAnsi="Times New Roman" w:eastAsia="仿宋" w:cs="Times New Roman"/>
          <w:color w:val="auto"/>
          <w:lang w:val="en-US" w:eastAsia="zh-CN"/>
        </w:rPr>
        <w:t>发布信用评价结果，</w:t>
      </w:r>
      <w:r>
        <w:rPr>
          <w:rFonts w:hint="eastAsia" w:ascii="Times New Roman" w:hAnsi="Times New Roman" w:eastAsia="仿宋" w:cs="Times New Roman"/>
          <w:color w:val="auto"/>
          <w:lang w:val="en-US" w:eastAsia="zh-CN"/>
        </w:rPr>
        <w:t>积极</w:t>
      </w:r>
      <w:r>
        <w:rPr>
          <w:rFonts w:hint="default" w:ascii="Times New Roman" w:hAnsi="Times New Roman" w:eastAsia="仿宋" w:cs="Times New Roman"/>
          <w:color w:val="auto"/>
          <w:lang w:val="en-US" w:eastAsia="zh-CN"/>
        </w:rPr>
        <w:t>推动信用评价结果应用。</w:t>
      </w:r>
    </w:p>
    <w:p w14:paraId="07A034C8">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eastAsia="zh-CN"/>
        </w:rPr>
      </w:pPr>
      <w:r>
        <w:rPr>
          <w:rFonts w:hint="default" w:ascii="Times New Roman" w:hAnsi="Times New Roman" w:eastAsia="仿宋" w:cs="Times New Roman"/>
          <w:color w:val="auto"/>
          <w:lang w:eastAsia="zh-CN"/>
        </w:rPr>
        <w:t>鼓励行业协会</w:t>
      </w:r>
      <w:r>
        <w:rPr>
          <w:rFonts w:hint="eastAsia" w:ascii="Times New Roman" w:hAnsi="Times New Roman" w:eastAsia="仿宋" w:cs="Times New Roman"/>
          <w:color w:val="auto"/>
          <w:lang w:val="en-US" w:eastAsia="zh-CN"/>
        </w:rPr>
        <w:t>商会及</w:t>
      </w:r>
      <w:r>
        <w:rPr>
          <w:rFonts w:hint="default" w:ascii="Times New Roman" w:hAnsi="Times New Roman" w:eastAsia="仿宋" w:cs="Times New Roman"/>
          <w:color w:val="auto"/>
          <w:lang w:eastAsia="zh-CN"/>
        </w:rPr>
        <w:t>第三方信用服务机构积极参与电力市场信用评价工作，融合电力市场信用评价结果推进行业自律，创新</w:t>
      </w:r>
      <w:r>
        <w:rPr>
          <w:rFonts w:hint="default" w:ascii="Times New Roman" w:hAnsi="Times New Roman" w:eastAsia="仿宋" w:cs="Times New Roman"/>
          <w:color w:val="auto"/>
          <w:lang w:val="en-US" w:eastAsia="zh-CN"/>
        </w:rPr>
        <w:t>信用应用</w:t>
      </w:r>
      <w:r>
        <w:rPr>
          <w:rFonts w:hint="default" w:ascii="Times New Roman" w:hAnsi="Times New Roman" w:eastAsia="仿宋" w:cs="Times New Roman"/>
          <w:color w:val="auto"/>
          <w:lang w:eastAsia="zh-CN"/>
        </w:rPr>
        <w:t>。</w:t>
      </w:r>
    </w:p>
    <w:p w14:paraId="1F548E79">
      <w:pPr>
        <w:keepNext w:val="0"/>
        <w:keepLines w:val="0"/>
        <w:pageBreakBefore w:val="0"/>
        <w:widowControl w:val="0"/>
        <w:kinsoku/>
        <w:wordWrap/>
        <w:overflowPunct w:val="0"/>
        <w:topLinePunct w:val="0"/>
        <w:autoSpaceDE/>
        <w:autoSpaceDN/>
        <w:bidi w:val="0"/>
        <w:adjustRightInd w:val="0"/>
        <w:snapToGrid w:val="0"/>
        <w:spacing w:before="0" w:beforeLines="100" w:after="0" w:afterLines="100" w:line="560" w:lineRule="exact"/>
        <w:ind w:left="0"/>
        <w:jc w:val="center"/>
        <w:textAlignment w:val="baseline"/>
        <w:outlineLvl w:val="0"/>
        <w:rPr>
          <w:rFonts w:hint="default" w:ascii="黑体" w:hAnsi="黑体" w:eastAsia="黑体" w:cs="黑体"/>
          <w:spacing w:val="3"/>
          <w:sz w:val="32"/>
          <w:szCs w:val="32"/>
          <w:lang w:val="en-US" w:eastAsia="zh-CN"/>
        </w:rPr>
      </w:pPr>
      <w:r>
        <w:rPr>
          <w:rFonts w:ascii="黑体" w:hAnsi="黑体" w:eastAsia="黑体" w:cs="黑体"/>
          <w:spacing w:val="3"/>
          <w:sz w:val="32"/>
          <w:szCs w:val="32"/>
        </w:rPr>
        <w:t>第</w:t>
      </w:r>
      <w:r>
        <w:rPr>
          <w:rFonts w:hint="default" w:ascii="黑体" w:hAnsi="黑体" w:eastAsia="黑体" w:cs="黑体"/>
          <w:spacing w:val="3"/>
          <w:sz w:val="32"/>
          <w:szCs w:val="32"/>
          <w:lang w:val="en-US" w:eastAsia="zh-CN"/>
        </w:rPr>
        <w:t>二</w:t>
      </w:r>
      <w:r>
        <w:rPr>
          <w:rFonts w:ascii="黑体" w:hAnsi="黑体" w:eastAsia="黑体" w:cs="黑体"/>
          <w:spacing w:val="3"/>
          <w:sz w:val="32"/>
          <w:szCs w:val="32"/>
        </w:rPr>
        <w:t>章</w:t>
      </w:r>
      <w:r>
        <w:rPr>
          <w:rFonts w:hint="default" w:ascii="黑体" w:hAnsi="黑体" w:eastAsia="黑体" w:cs="黑体"/>
          <w:spacing w:val="3"/>
          <w:sz w:val="32"/>
          <w:szCs w:val="32"/>
          <w:lang w:val="en-US" w:eastAsia="zh-CN"/>
        </w:rPr>
        <w:t xml:space="preserve">  信用评价指标及等级</w:t>
      </w:r>
    </w:p>
    <w:p w14:paraId="58FE189F">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w:t>
      </w:r>
      <w:r>
        <w:rPr>
          <w:rFonts w:hint="eastAsia" w:ascii="黑体" w:hAnsi="黑体" w:eastAsia="黑体" w:cs="黑体"/>
          <w:color w:val="auto"/>
          <w:lang w:val="en-US" w:eastAsia="zh-CN"/>
        </w:rPr>
        <w:t>五</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eastAsia" w:ascii="Times New Roman" w:hAnsi="Times New Roman" w:eastAsia="仿宋" w:cs="Times New Roman"/>
          <w:color w:val="auto"/>
          <w:lang w:eastAsia="zh-CN"/>
        </w:rPr>
        <w:t>全国统一电力市场</w:t>
      </w:r>
      <w:r>
        <w:rPr>
          <w:rFonts w:hint="default" w:ascii="Times New Roman" w:hAnsi="Times New Roman" w:eastAsia="仿宋" w:cs="Times New Roman"/>
          <w:color w:val="auto"/>
          <w:lang w:eastAsia="zh-CN"/>
        </w:rPr>
        <w:t>信用评价</w:t>
      </w:r>
      <w:r>
        <w:rPr>
          <w:rFonts w:hint="eastAsia" w:ascii="Times New Roman" w:hAnsi="Times New Roman" w:eastAsia="仿宋" w:cs="Times New Roman"/>
          <w:color w:val="auto"/>
          <w:lang w:eastAsia="zh-CN"/>
        </w:rPr>
        <w:t>指标</w:t>
      </w:r>
      <w:r>
        <w:rPr>
          <w:rFonts w:hint="eastAsia" w:ascii="Times New Roman" w:hAnsi="Times New Roman" w:eastAsia="仿宋" w:cs="Times New Roman"/>
          <w:color w:val="auto"/>
          <w:lang w:val="en-US" w:eastAsia="zh-CN"/>
        </w:rPr>
        <w:t>基于经营主体公共信用状况及市场交易行为建立，由一级、二级、三级指标组成</w:t>
      </w:r>
      <w:r>
        <w:rPr>
          <w:rFonts w:hint="default" w:ascii="Times New Roman" w:hAnsi="Times New Roman" w:eastAsia="仿宋" w:cs="Times New Roman"/>
          <w:color w:val="auto"/>
          <w:lang w:eastAsia="zh-CN"/>
        </w:rPr>
        <w:t>。</w:t>
      </w:r>
    </w:p>
    <w:p w14:paraId="76954F99">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第六条</w:t>
      </w:r>
      <w:r>
        <w:rPr>
          <w:rFonts w:hint="eastAsia" w:ascii="Times New Roman" w:hAnsi="Times New Roman" w:eastAsia="仿宋" w:cs="Times New Roman"/>
          <w:color w:val="auto"/>
          <w:lang w:val="en-US" w:eastAsia="zh-CN"/>
        </w:rPr>
        <w:t xml:space="preserve">  根据信用评价综合得分，</w:t>
      </w:r>
      <w:r>
        <w:rPr>
          <w:rFonts w:hint="default" w:ascii="Times New Roman" w:hAnsi="Times New Roman" w:eastAsia="仿宋" w:cs="Times New Roman"/>
          <w:color w:val="auto"/>
          <w:lang w:eastAsia="zh-CN"/>
        </w:rPr>
        <w:t>全国统一电力市场</w:t>
      </w:r>
      <w:r>
        <w:rPr>
          <w:rFonts w:hint="default" w:ascii="Times New Roman" w:hAnsi="Times New Roman" w:eastAsia="仿宋" w:cs="Times New Roman"/>
          <w:color w:val="auto"/>
          <w:lang w:val="en-US" w:eastAsia="zh-CN"/>
        </w:rPr>
        <w:t>信用评价</w:t>
      </w:r>
      <w:r>
        <w:rPr>
          <w:rFonts w:hint="eastAsia" w:ascii="Times New Roman" w:hAnsi="Times New Roman" w:eastAsia="仿宋" w:cs="Times New Roman"/>
          <w:color w:val="auto"/>
          <w:lang w:val="en-US" w:eastAsia="zh-CN"/>
        </w:rPr>
        <w:t>结果</w:t>
      </w:r>
      <w:r>
        <w:rPr>
          <w:rFonts w:hint="default" w:ascii="Times New Roman" w:hAnsi="Times New Roman" w:eastAsia="仿宋" w:cs="Times New Roman"/>
          <w:color w:val="auto"/>
          <w:lang w:val="en-US" w:eastAsia="zh-CN"/>
        </w:rPr>
        <w:t>从高到低划分为“A”、“B”、“C”、“D”四级。信用评价</w:t>
      </w:r>
      <w:r>
        <w:rPr>
          <w:rFonts w:hint="eastAsia" w:ascii="Times New Roman" w:hAnsi="Times New Roman" w:eastAsia="仿宋" w:cs="Times New Roman"/>
          <w:color w:val="auto"/>
          <w:lang w:val="en-US" w:eastAsia="zh-CN"/>
        </w:rPr>
        <w:t>综合</w:t>
      </w:r>
      <w:r>
        <w:rPr>
          <w:rFonts w:hint="default" w:ascii="Times New Roman" w:hAnsi="Times New Roman" w:eastAsia="仿宋" w:cs="Times New Roman"/>
          <w:color w:val="auto"/>
          <w:lang w:val="en-US" w:eastAsia="zh-CN"/>
        </w:rPr>
        <w:t>得分(85, 100]，为“A”级；(70,85]</w:t>
      </w:r>
      <w:r>
        <w:rPr>
          <w:rFonts w:hint="default" w:ascii="Times New Roman" w:hAnsi="Times New Roman" w:eastAsia="仿宋" w:cs="Times New Roman"/>
          <w:strike w:val="0"/>
          <w:color w:val="auto"/>
          <w:lang w:val="en-US" w:eastAsia="zh-CN"/>
        </w:rPr>
        <w:t>，</w:t>
      </w:r>
      <w:r>
        <w:rPr>
          <w:rFonts w:hint="default" w:ascii="Times New Roman" w:hAnsi="Times New Roman" w:eastAsia="仿宋" w:cs="Times New Roman"/>
          <w:color w:val="auto"/>
          <w:lang w:val="en-US" w:eastAsia="zh-CN"/>
        </w:rPr>
        <w:t>为“B”级；(40,70]</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为“C”级；</w:t>
      </w:r>
      <w:r>
        <w:rPr>
          <w:rFonts w:ascii="Times New Roman" w:hAnsi="Times New Roman" w:cs="Times New Roman"/>
          <w:sz w:val="32"/>
          <w:szCs w:val="32"/>
        </w:rPr>
        <w:t>[</w:t>
      </w:r>
      <w:r>
        <w:rPr>
          <w:rFonts w:hint="default" w:ascii="Times New Roman" w:hAnsi="Times New Roman" w:eastAsia="仿宋" w:cs="Times New Roman"/>
          <w:color w:val="auto"/>
          <w:lang w:val="en-US" w:eastAsia="zh-CN"/>
        </w:rPr>
        <w:t>0,40]</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以及</w:t>
      </w:r>
      <w:r>
        <w:rPr>
          <w:rFonts w:hint="eastAsia" w:ascii="Times New Roman" w:hAnsi="Times New Roman" w:eastAsia="仿宋" w:cs="Times New Roman"/>
          <w:color w:val="auto"/>
          <w:lang w:val="en-US" w:eastAsia="zh-CN"/>
        </w:rPr>
        <w:t>被</w:t>
      </w:r>
      <w:r>
        <w:rPr>
          <w:rFonts w:hint="default" w:ascii="Times New Roman" w:hAnsi="Times New Roman" w:eastAsia="仿宋" w:cs="Times New Roman"/>
          <w:color w:val="auto"/>
          <w:lang w:val="en-US" w:eastAsia="zh-CN"/>
        </w:rPr>
        <w:t>列入严重失信主体名单的，为“D”级。</w:t>
      </w:r>
    </w:p>
    <w:p w14:paraId="35502B8D">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公共信用综合评价为“D”级的，电力市场信用评价不能为“A”级。</w:t>
      </w:r>
    </w:p>
    <w:p w14:paraId="3BFB248D">
      <w:pPr>
        <w:keepNext w:val="0"/>
        <w:keepLines w:val="0"/>
        <w:pageBreakBefore w:val="0"/>
        <w:widowControl w:val="0"/>
        <w:kinsoku/>
        <w:wordWrap/>
        <w:overflowPunct w:val="0"/>
        <w:topLinePunct w:val="0"/>
        <w:autoSpaceDE/>
        <w:autoSpaceDN/>
        <w:bidi w:val="0"/>
        <w:adjustRightInd w:val="0"/>
        <w:snapToGrid w:val="0"/>
        <w:spacing w:before="0" w:beforeLines="100" w:after="0" w:afterLines="100" w:line="560" w:lineRule="exact"/>
        <w:ind w:left="0"/>
        <w:jc w:val="center"/>
        <w:textAlignment w:val="baseline"/>
        <w:outlineLvl w:val="0"/>
        <w:rPr>
          <w:rFonts w:hint="default" w:ascii="黑体" w:hAnsi="黑体" w:eastAsia="黑体" w:cs="黑体"/>
          <w:spacing w:val="3"/>
          <w:sz w:val="32"/>
          <w:szCs w:val="32"/>
          <w:lang w:val="en-US" w:eastAsia="zh-CN"/>
        </w:rPr>
      </w:pPr>
      <w:r>
        <w:rPr>
          <w:rFonts w:ascii="黑体" w:hAnsi="黑体" w:eastAsia="黑体" w:cs="黑体"/>
          <w:spacing w:val="3"/>
          <w:sz w:val="32"/>
          <w:szCs w:val="32"/>
        </w:rPr>
        <w:t>第</w:t>
      </w:r>
      <w:r>
        <w:rPr>
          <w:rFonts w:hint="default" w:ascii="黑体" w:hAnsi="黑体" w:eastAsia="黑体" w:cs="黑体"/>
          <w:spacing w:val="3"/>
          <w:sz w:val="32"/>
          <w:szCs w:val="32"/>
          <w:lang w:eastAsia="zh-CN"/>
        </w:rPr>
        <w:t>三</w:t>
      </w:r>
      <w:r>
        <w:rPr>
          <w:rFonts w:ascii="黑体" w:hAnsi="黑体" w:eastAsia="黑体" w:cs="黑体"/>
          <w:spacing w:val="3"/>
          <w:sz w:val="32"/>
          <w:szCs w:val="32"/>
        </w:rPr>
        <w:t>章</w:t>
      </w:r>
      <w:r>
        <w:rPr>
          <w:rFonts w:hint="default" w:ascii="黑体" w:hAnsi="黑体" w:eastAsia="黑体" w:cs="黑体"/>
          <w:spacing w:val="3"/>
          <w:sz w:val="32"/>
          <w:szCs w:val="32"/>
          <w:lang w:val="en-US" w:eastAsia="zh-CN"/>
        </w:rPr>
        <w:t xml:space="preserve">  信用评价程序</w:t>
      </w:r>
    </w:p>
    <w:p w14:paraId="243E6E6E">
      <w:pPr>
        <w:pStyle w:val="4"/>
        <w:keepNext w:val="0"/>
        <w:keepLines w:val="0"/>
        <w:pageBreakBefore w:val="0"/>
        <w:widowControl w:val="0"/>
        <w:kinsoku/>
        <w:wordWrap/>
        <w:overflowPunct w:val="0"/>
        <w:topLinePunct w:val="0"/>
        <w:autoSpaceDE/>
        <w:autoSpaceDN/>
        <w:bidi w:val="0"/>
        <w:adjustRightInd w:val="0"/>
        <w:snapToGrid w:val="0"/>
        <w:spacing w:line="560" w:lineRule="exact"/>
        <w:jc w:val="both"/>
        <w:textAlignment w:val="baseline"/>
        <w:rPr>
          <w:rFonts w:hint="default" w:ascii="Times New Roman" w:hAnsi="Times New Roman" w:eastAsia="仿宋" w:cs="Times New Roman"/>
          <w:color w:val="auto"/>
          <w:lang w:eastAsia="zh-CN"/>
        </w:rPr>
      </w:pPr>
      <w:r>
        <w:rPr>
          <w:rFonts w:hint="eastAsia" w:ascii="黑体" w:hAnsi="黑体" w:eastAsia="黑体" w:cs="黑体"/>
          <w:color w:val="auto"/>
          <w:lang w:val="en-US" w:eastAsia="zh-CN"/>
        </w:rPr>
        <w:t>第七条</w:t>
      </w:r>
      <w:r>
        <w:rPr>
          <w:rFonts w:hint="eastAsia" w:ascii="Times New Roman" w:hAnsi="Times New Roman" w:eastAsia="仿宋" w:cs="Times New Roman"/>
          <w:color w:val="auto"/>
          <w:lang w:val="en-US" w:eastAsia="zh-CN"/>
        </w:rPr>
        <w:t xml:space="preserve">  全国统一电力市场</w:t>
      </w:r>
      <w:r>
        <w:rPr>
          <w:rFonts w:hint="default" w:ascii="Times New Roman" w:hAnsi="Times New Roman" w:eastAsia="仿宋" w:cs="Times New Roman"/>
          <w:color w:val="auto"/>
          <w:lang w:eastAsia="zh-CN"/>
        </w:rPr>
        <w:t>信用评价</w:t>
      </w:r>
      <w:r>
        <w:rPr>
          <w:rFonts w:hint="eastAsia" w:ascii="Times New Roman" w:hAnsi="Times New Roman" w:eastAsia="仿宋" w:cs="Times New Roman"/>
          <w:color w:val="auto"/>
          <w:lang w:val="en-US" w:eastAsia="zh-CN"/>
        </w:rPr>
        <w:t>分为</w:t>
      </w:r>
      <w:r>
        <w:rPr>
          <w:rFonts w:hint="default" w:ascii="Times New Roman" w:hAnsi="Times New Roman" w:eastAsia="仿宋" w:cs="Times New Roman"/>
          <w:color w:val="auto"/>
          <w:lang w:eastAsia="zh-CN"/>
        </w:rPr>
        <w:t>参评</w:t>
      </w:r>
      <w:r>
        <w:rPr>
          <w:rFonts w:hint="eastAsia" w:ascii="Times New Roman" w:hAnsi="Times New Roman" w:eastAsia="仿宋" w:cs="Times New Roman"/>
          <w:color w:val="auto"/>
          <w:lang w:val="en-US" w:eastAsia="zh-CN"/>
        </w:rPr>
        <w:t>信息归集</w:t>
      </w:r>
      <w:r>
        <w:rPr>
          <w:rFonts w:hint="default" w:ascii="Times New Roman" w:hAnsi="Times New Roman" w:eastAsia="仿宋" w:cs="Times New Roman"/>
          <w:color w:val="auto"/>
          <w:lang w:eastAsia="zh-CN"/>
        </w:rPr>
        <w:t>、</w:t>
      </w:r>
      <w:r>
        <w:rPr>
          <w:rFonts w:hint="default" w:ascii="Times New Roman" w:hAnsi="Times New Roman" w:eastAsia="仿宋" w:cs="Times New Roman"/>
          <w:color w:val="auto"/>
          <w:lang w:val="en-US" w:eastAsia="zh-CN"/>
        </w:rPr>
        <w:t>评价计算</w:t>
      </w:r>
      <w:r>
        <w:rPr>
          <w:rFonts w:hint="default" w:ascii="Times New Roman" w:hAnsi="Times New Roman" w:eastAsia="仿宋" w:cs="Times New Roman"/>
          <w:color w:val="auto"/>
          <w:lang w:eastAsia="zh-CN"/>
        </w:rPr>
        <w:t>、评价结果公示、</w:t>
      </w:r>
      <w:r>
        <w:rPr>
          <w:rFonts w:hint="eastAsia" w:ascii="Times New Roman" w:hAnsi="Times New Roman" w:eastAsia="仿宋" w:cs="Times New Roman"/>
          <w:color w:val="auto"/>
          <w:lang w:val="en-US" w:eastAsia="zh-CN"/>
        </w:rPr>
        <w:t>异议申诉、</w:t>
      </w:r>
      <w:r>
        <w:rPr>
          <w:rFonts w:hint="default" w:ascii="Times New Roman" w:hAnsi="Times New Roman" w:eastAsia="仿宋" w:cs="Times New Roman"/>
          <w:color w:val="auto"/>
          <w:lang w:eastAsia="zh-CN"/>
        </w:rPr>
        <w:t>评价结果发布等环节。</w:t>
      </w:r>
    </w:p>
    <w:p w14:paraId="213668FC">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w:t>
      </w:r>
      <w:r>
        <w:rPr>
          <w:rFonts w:hint="eastAsia" w:ascii="黑体" w:hAnsi="黑体" w:eastAsia="黑体" w:cs="黑体"/>
          <w:color w:val="auto"/>
          <w:lang w:val="en-US" w:eastAsia="zh-CN"/>
        </w:rPr>
        <w:t>八</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参评信息包括公共信用信息、财务信息和电力市场交易相关信息。</w:t>
      </w:r>
    </w:p>
    <w:p w14:paraId="1212C538">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公共信用信息为每个评价周期最后一个自然日获取的有效信用信息，由北京、广州电力交易</w:t>
      </w:r>
      <w:r>
        <w:rPr>
          <w:rFonts w:hint="eastAsia" w:ascii="Times New Roman" w:hAnsi="Times New Roman" w:eastAsia="仿宋" w:cs="Times New Roman"/>
          <w:color w:val="auto"/>
          <w:lang w:val="en-US" w:eastAsia="zh-CN"/>
        </w:rPr>
        <w:t>中心</w:t>
      </w:r>
      <w:r>
        <w:rPr>
          <w:rFonts w:hint="default" w:ascii="Times New Roman" w:hAnsi="Times New Roman" w:eastAsia="仿宋" w:cs="Times New Roman"/>
          <w:color w:val="auto"/>
          <w:lang w:val="en-US" w:eastAsia="zh-CN"/>
        </w:rPr>
        <w:t>通过系统接口，从全国信用信息共享平台（“信用中国”）和能源行业信用信息平台（“信用能源”）自动归集共享</w:t>
      </w:r>
      <w:r>
        <w:rPr>
          <w:rFonts w:hint="eastAsia" w:ascii="Times New Roman" w:hAnsi="Times New Roman" w:eastAsia="仿宋" w:cs="Times New Roman"/>
          <w:color w:val="auto"/>
          <w:lang w:val="en-US" w:eastAsia="zh-CN"/>
        </w:rPr>
        <w:t>，并回传其经营区内所涉省级电力交易中心</w:t>
      </w:r>
      <w:r>
        <w:rPr>
          <w:rFonts w:hint="default" w:ascii="Times New Roman" w:hAnsi="Times New Roman" w:eastAsia="仿宋" w:cs="Times New Roman"/>
          <w:color w:val="auto"/>
          <w:lang w:val="en-US" w:eastAsia="zh-CN"/>
        </w:rPr>
        <w:t>。</w:t>
      </w:r>
    </w:p>
    <w:p w14:paraId="60751393">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财务信息来源于年度审计报告，由经营主体通过</w:t>
      </w:r>
      <w:r>
        <w:rPr>
          <w:rFonts w:hint="eastAsia" w:ascii="Times New Roman" w:hAnsi="Times New Roman" w:eastAsia="仿宋" w:cs="Times New Roman"/>
          <w:color w:val="auto"/>
          <w:lang w:val="en-US" w:eastAsia="zh-CN"/>
        </w:rPr>
        <w:t>电力市场首注</w:t>
      </w:r>
      <w:r>
        <w:rPr>
          <w:rFonts w:hint="default" w:ascii="Times New Roman" w:hAnsi="Times New Roman" w:eastAsia="仿宋" w:cs="Times New Roman"/>
          <w:color w:val="auto"/>
          <w:lang w:val="en-US" w:eastAsia="zh-CN"/>
        </w:rPr>
        <w:t>地</w:t>
      </w:r>
      <w:r>
        <w:rPr>
          <w:rFonts w:hint="eastAsia" w:ascii="Times New Roman" w:hAnsi="Times New Roman" w:eastAsia="仿宋" w:cs="Times New Roman"/>
          <w:color w:val="auto"/>
          <w:lang w:val="en-US" w:eastAsia="zh-CN"/>
        </w:rPr>
        <w:t>的</w:t>
      </w:r>
      <w:r>
        <w:rPr>
          <w:rFonts w:hint="default" w:ascii="Times New Roman" w:hAnsi="Times New Roman" w:eastAsia="仿宋" w:cs="Times New Roman"/>
          <w:color w:val="auto"/>
          <w:lang w:val="en-US" w:eastAsia="zh-CN"/>
        </w:rPr>
        <w:t>电力交易平台按规定填报，若存在某项财务信息缺失或不符合要求的情况，相应指标按0分处理。</w:t>
      </w:r>
    </w:p>
    <w:p w14:paraId="63D7104B">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电力市场交易相关信息为每个评价周期内电力市场交易相关的有效信用信息，</w:t>
      </w:r>
      <w:r>
        <w:rPr>
          <w:rFonts w:hint="eastAsia" w:ascii="Times New Roman" w:hAnsi="Times New Roman" w:eastAsia="仿宋" w:cs="Times New Roman"/>
          <w:color w:val="auto"/>
          <w:lang w:val="en-US" w:eastAsia="zh-CN"/>
        </w:rPr>
        <w:t>包括经营主体的省内电力市场交易信息和跨省跨区跨境电力市场交易信息，</w:t>
      </w:r>
      <w:r>
        <w:rPr>
          <w:rFonts w:hint="default" w:ascii="Times New Roman" w:hAnsi="Times New Roman" w:eastAsia="仿宋" w:cs="Times New Roman"/>
          <w:color w:val="auto"/>
          <w:lang w:val="en-US" w:eastAsia="zh-CN"/>
        </w:rPr>
        <w:t>由北京、广州电力交易</w:t>
      </w:r>
      <w:r>
        <w:rPr>
          <w:rFonts w:hint="eastAsia" w:ascii="Times New Roman" w:hAnsi="Times New Roman" w:eastAsia="仿宋" w:cs="Times New Roman"/>
          <w:color w:val="auto"/>
          <w:lang w:val="en-US" w:eastAsia="zh-CN"/>
        </w:rPr>
        <w:t>中心</w:t>
      </w:r>
      <w:r>
        <w:rPr>
          <w:rFonts w:hint="default" w:ascii="Times New Roman" w:hAnsi="Times New Roman" w:eastAsia="仿宋" w:cs="Times New Roman"/>
          <w:color w:val="auto"/>
          <w:lang w:val="en-US" w:eastAsia="zh-CN"/>
        </w:rPr>
        <w:t>组织</w:t>
      </w:r>
      <w:r>
        <w:rPr>
          <w:rFonts w:hint="eastAsia" w:ascii="Times New Roman" w:hAnsi="Times New Roman" w:eastAsia="仿宋" w:cs="Times New Roman"/>
          <w:color w:val="auto"/>
          <w:lang w:val="en-US" w:eastAsia="zh-CN"/>
        </w:rPr>
        <w:t>经营区内所涉</w:t>
      </w:r>
      <w:r>
        <w:rPr>
          <w:rFonts w:hint="default" w:ascii="Times New Roman" w:hAnsi="Times New Roman" w:eastAsia="仿宋" w:cs="Times New Roman"/>
          <w:color w:val="auto"/>
          <w:lang w:val="en-US" w:eastAsia="zh-CN"/>
        </w:rPr>
        <w:t>省级电力交易</w:t>
      </w:r>
      <w:r>
        <w:rPr>
          <w:rFonts w:hint="eastAsia" w:ascii="Times New Roman" w:hAnsi="Times New Roman" w:eastAsia="仿宋" w:cs="Times New Roman"/>
          <w:color w:val="auto"/>
          <w:lang w:val="en-US" w:eastAsia="zh-CN"/>
        </w:rPr>
        <w:t>中心</w:t>
      </w:r>
      <w:r>
        <w:rPr>
          <w:rFonts w:hint="default" w:ascii="Times New Roman" w:hAnsi="Times New Roman" w:eastAsia="仿宋" w:cs="Times New Roman"/>
          <w:color w:val="auto"/>
          <w:lang w:val="en-US" w:eastAsia="zh-CN"/>
        </w:rPr>
        <w:t>通过电力交易平台归集。</w:t>
      </w:r>
    </w:p>
    <w:p w14:paraId="05016E8B">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eastAsia" w:ascii="Times New Roman" w:hAnsi="Times New Roman" w:eastAsia="仿宋" w:cs="Times New Roman"/>
          <w:color w:val="auto"/>
          <w:lang w:val="en-US" w:eastAsia="zh-CN"/>
        </w:rPr>
      </w:pPr>
      <w:r>
        <w:rPr>
          <w:rFonts w:hint="eastAsia" w:ascii="黑体" w:hAnsi="黑体" w:eastAsia="黑体" w:cs="黑体"/>
          <w:color w:val="auto"/>
          <w:lang w:val="en-US" w:eastAsia="zh-CN"/>
        </w:rPr>
        <w:t>第九条</w:t>
      </w:r>
      <w:r>
        <w:rPr>
          <w:rFonts w:hint="eastAsia" w:ascii="Times New Roman" w:hAnsi="Times New Roman" w:eastAsia="仿宋" w:cs="Times New Roman"/>
          <w:color w:val="auto"/>
          <w:lang w:val="en-US" w:eastAsia="zh-CN"/>
        </w:rPr>
        <w:t xml:space="preserve">  按照</w:t>
      </w:r>
      <w:r>
        <w:rPr>
          <w:rFonts w:hint="default" w:ascii="Times New Roman" w:hAnsi="Times New Roman" w:eastAsia="仿宋" w:cs="Times New Roman"/>
          <w:color w:val="auto"/>
          <w:lang w:val="en-US" w:eastAsia="zh-CN"/>
        </w:rPr>
        <w:t>“谁结算、谁评价”</w:t>
      </w:r>
      <w:r>
        <w:rPr>
          <w:rFonts w:hint="eastAsia" w:ascii="Times New Roman" w:hAnsi="Times New Roman" w:eastAsia="仿宋" w:cs="Times New Roman"/>
          <w:color w:val="auto"/>
          <w:lang w:val="en-US" w:eastAsia="zh-CN"/>
        </w:rPr>
        <w:t>的原则，各省级电力交易中心自动核算相关经营主体的信用评价指标本省得分，每个评价周期第一个月20日前，将上一评价周期的信用评价指标本省得分及相关信用信息推送给相关经营主体，组织开展</w:t>
      </w:r>
      <w:r>
        <w:rPr>
          <w:rFonts w:hint="default" w:ascii="Times New Roman" w:hAnsi="Times New Roman" w:eastAsia="仿宋" w:cs="Times New Roman"/>
          <w:color w:val="auto"/>
          <w:lang w:val="en-US" w:eastAsia="zh-CN"/>
        </w:rPr>
        <w:t>得分</w:t>
      </w:r>
      <w:r>
        <w:rPr>
          <w:rFonts w:hint="eastAsia" w:ascii="Times New Roman" w:hAnsi="Times New Roman" w:eastAsia="仿宋" w:cs="Times New Roman"/>
          <w:color w:val="auto"/>
          <w:lang w:val="en-US" w:eastAsia="zh-CN"/>
        </w:rPr>
        <w:t>及信用信息核对；次月5日前，按照统一规范，将核对后的</w:t>
      </w:r>
      <w:r>
        <w:rPr>
          <w:rFonts w:hint="default" w:ascii="Times New Roman" w:hAnsi="Times New Roman" w:eastAsia="仿宋" w:cs="Times New Roman"/>
          <w:color w:val="auto"/>
          <w:lang w:val="en-US" w:eastAsia="zh-CN"/>
        </w:rPr>
        <w:t>本省得分及相关信用信息自动推送</w:t>
      </w:r>
      <w:r>
        <w:rPr>
          <w:rFonts w:hint="eastAsia" w:ascii="Times New Roman" w:hAnsi="Times New Roman" w:eastAsia="仿宋" w:cs="Times New Roman"/>
          <w:color w:val="auto"/>
          <w:lang w:val="en-US" w:eastAsia="zh-CN"/>
        </w:rPr>
        <w:t>北京或广州电力交易中心。</w:t>
      </w:r>
    </w:p>
    <w:p w14:paraId="66C007FE">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eastAsia"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北京、广州电力交易中心</w:t>
      </w:r>
      <w:r>
        <w:rPr>
          <w:rFonts w:hint="eastAsia" w:ascii="Times New Roman" w:hAnsi="Times New Roman" w:eastAsia="仿宋" w:cs="Times New Roman"/>
          <w:color w:val="auto"/>
          <w:lang w:val="en-US" w:eastAsia="zh-CN"/>
        </w:rPr>
        <w:t>汇集所有参评省份推送的</w:t>
      </w:r>
      <w:r>
        <w:rPr>
          <w:rFonts w:hint="default" w:ascii="Times New Roman" w:hAnsi="Times New Roman" w:eastAsia="仿宋" w:cs="Times New Roman"/>
          <w:color w:val="auto"/>
          <w:lang w:val="en-US" w:eastAsia="zh-CN"/>
        </w:rPr>
        <w:t>得分及</w:t>
      </w:r>
      <w:r>
        <w:rPr>
          <w:rFonts w:hint="eastAsia" w:ascii="Times New Roman" w:hAnsi="Times New Roman" w:eastAsia="仿宋" w:cs="Times New Roman"/>
          <w:color w:val="auto"/>
          <w:lang w:val="en-US" w:eastAsia="zh-CN"/>
        </w:rPr>
        <w:t>信用</w:t>
      </w:r>
      <w:r>
        <w:rPr>
          <w:rFonts w:hint="default" w:ascii="Times New Roman" w:hAnsi="Times New Roman" w:eastAsia="仿宋" w:cs="Times New Roman"/>
          <w:color w:val="auto"/>
          <w:lang w:val="en-US" w:eastAsia="zh-CN"/>
        </w:rPr>
        <w:t>信息，按照设定的相关权重系数，在每个评价周期第二个月15日前，自动核算经营主体信用评价</w:t>
      </w:r>
      <w:r>
        <w:rPr>
          <w:rFonts w:hint="eastAsia" w:ascii="Times New Roman" w:hAnsi="Times New Roman" w:eastAsia="仿宋" w:cs="Times New Roman"/>
          <w:color w:val="auto"/>
          <w:lang w:val="en-US" w:eastAsia="zh-CN"/>
        </w:rPr>
        <w:t>综合</w:t>
      </w:r>
      <w:r>
        <w:rPr>
          <w:rFonts w:hint="default" w:ascii="Times New Roman" w:hAnsi="Times New Roman" w:eastAsia="仿宋" w:cs="Times New Roman"/>
          <w:color w:val="auto"/>
          <w:lang w:val="en-US" w:eastAsia="zh-CN"/>
        </w:rPr>
        <w:t>得分</w:t>
      </w:r>
      <w:r>
        <w:rPr>
          <w:rFonts w:hint="eastAsia" w:ascii="Times New Roman" w:hAnsi="Times New Roman" w:eastAsia="仿宋" w:cs="Times New Roman"/>
          <w:color w:val="auto"/>
          <w:lang w:val="en-US" w:eastAsia="zh-CN"/>
        </w:rPr>
        <w:t>，形成信用评价结果并反馈经营区内所涉省级电力交易中心。</w:t>
      </w:r>
    </w:p>
    <w:p w14:paraId="247E7E2B">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第十条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电力交易机构将经营主体信用评价结果以市场</w:t>
      </w:r>
      <w:r>
        <w:rPr>
          <w:rFonts w:hint="eastAsia" w:ascii="Times New Roman" w:hAnsi="Times New Roman" w:eastAsia="仿宋" w:cs="Times New Roman"/>
          <w:color w:val="auto"/>
          <w:lang w:val="en-US" w:eastAsia="zh-CN"/>
        </w:rPr>
        <w:t>公开</w:t>
      </w:r>
      <w:r>
        <w:rPr>
          <w:rFonts w:hint="default" w:ascii="Times New Roman" w:hAnsi="Times New Roman" w:eastAsia="仿宋" w:cs="Times New Roman"/>
          <w:color w:val="auto"/>
          <w:lang w:val="en-US" w:eastAsia="zh-CN"/>
        </w:rPr>
        <w:t>信息方式面向市场公示，公示期</w:t>
      </w:r>
      <w:r>
        <w:rPr>
          <w:rFonts w:hint="eastAsia" w:ascii="Times New Roman" w:hAnsi="Times New Roman" w:eastAsia="仿宋" w:cs="Times New Roman"/>
          <w:color w:val="auto"/>
          <w:lang w:val="en-US" w:eastAsia="zh-CN"/>
        </w:rPr>
        <w:t>为5</w:t>
      </w:r>
      <w:r>
        <w:rPr>
          <w:rFonts w:hint="default" w:ascii="Times New Roman" w:hAnsi="Times New Roman" w:eastAsia="仿宋" w:cs="Times New Roman"/>
          <w:color w:val="auto"/>
          <w:lang w:val="en-US" w:eastAsia="zh-CN"/>
        </w:rPr>
        <w:t>个工作日。</w:t>
      </w:r>
    </w:p>
    <w:p w14:paraId="4D54C854">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一</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在公示期内</w:t>
      </w:r>
      <w:r>
        <w:rPr>
          <w:rFonts w:hint="eastAsia" w:ascii="Times New Roman" w:hAnsi="Times New Roman" w:eastAsia="仿宋" w:cs="Times New Roman"/>
          <w:color w:val="auto"/>
          <w:lang w:val="en-US" w:eastAsia="zh-CN"/>
        </w:rPr>
        <w:t>，受评</w:t>
      </w:r>
      <w:r>
        <w:rPr>
          <w:rFonts w:hint="default" w:ascii="Times New Roman" w:hAnsi="Times New Roman" w:eastAsia="仿宋" w:cs="Times New Roman"/>
          <w:color w:val="auto"/>
          <w:lang w:val="en-US" w:eastAsia="zh-CN"/>
        </w:rPr>
        <w:t>经营主体</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其他市场成员对信用评价结果如有异议，可向</w:t>
      </w:r>
      <w:r>
        <w:rPr>
          <w:rFonts w:hint="eastAsia" w:ascii="Times New Roman" w:hAnsi="Times New Roman" w:eastAsia="仿宋" w:cs="Times New Roman"/>
          <w:color w:val="auto"/>
          <w:lang w:val="en-US" w:eastAsia="zh-CN"/>
        </w:rPr>
        <w:t>有关电力交易机构</w:t>
      </w:r>
      <w:r>
        <w:rPr>
          <w:rFonts w:hint="default" w:ascii="Times New Roman" w:hAnsi="Times New Roman" w:eastAsia="仿宋" w:cs="Times New Roman"/>
          <w:color w:val="auto"/>
          <w:lang w:val="en-US" w:eastAsia="zh-CN"/>
        </w:rPr>
        <w:t>提出申诉，并提供证明材料。电力交易机构原则上在7个工作日内完成异议申诉申请处理；情况复杂的，应在1个月内完成申诉处理。仍有异议的，可向省级能源主管部门及相关部门</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国家能源局派出机构申请协调解决。</w:t>
      </w:r>
    </w:p>
    <w:p w14:paraId="071B3063">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eastAsia" w:ascii="Times New Roman" w:hAnsi="Times New Roman" w:eastAsia="仿宋" w:cs="Times New Roman"/>
          <w:color w:val="auto"/>
          <w:lang w:val="en-US" w:eastAsia="zh-CN"/>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二</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eastAsia="zh-CN"/>
        </w:rPr>
        <w:t>经营主体信用评价结果</w:t>
      </w:r>
      <w:r>
        <w:rPr>
          <w:rFonts w:hint="default" w:ascii="Times New Roman" w:hAnsi="Times New Roman" w:eastAsia="仿宋" w:cs="Times New Roman"/>
          <w:color w:val="auto"/>
          <w:highlight w:val="none"/>
          <w:lang w:eastAsia="zh-CN"/>
        </w:rPr>
        <w:t>公示期满无异议的</w:t>
      </w:r>
      <w:r>
        <w:rPr>
          <w:rFonts w:hint="default" w:ascii="Times New Roman" w:hAnsi="Times New Roman" w:eastAsia="仿宋" w:cs="Times New Roman"/>
          <w:color w:val="auto"/>
          <w:lang w:eastAsia="zh-CN"/>
        </w:rPr>
        <w:t>，</w:t>
      </w:r>
      <w:r>
        <w:rPr>
          <w:rFonts w:hint="eastAsia" w:ascii="Times New Roman" w:hAnsi="Times New Roman" w:eastAsia="仿宋" w:cs="Times New Roman"/>
          <w:color w:val="auto"/>
          <w:lang w:val="en-US" w:eastAsia="zh-CN"/>
        </w:rPr>
        <w:t>电力交易机构</w:t>
      </w:r>
      <w:r>
        <w:rPr>
          <w:rFonts w:hint="default" w:ascii="Times New Roman" w:hAnsi="Times New Roman" w:eastAsia="仿宋" w:cs="Times New Roman"/>
          <w:color w:val="auto"/>
          <w:lang w:val="en-US" w:eastAsia="zh-CN"/>
        </w:rPr>
        <w:t>发布</w:t>
      </w:r>
      <w:r>
        <w:rPr>
          <w:rFonts w:hint="default" w:ascii="Times New Roman" w:hAnsi="Times New Roman" w:eastAsia="仿宋" w:cs="Times New Roman"/>
          <w:color w:val="auto"/>
          <w:lang w:eastAsia="zh-CN"/>
        </w:rPr>
        <w:t>信用评价结果</w:t>
      </w:r>
      <w:r>
        <w:rPr>
          <w:rFonts w:hint="eastAsia" w:ascii="Times New Roman" w:hAnsi="Times New Roman" w:eastAsia="仿宋" w:cs="Times New Roman"/>
          <w:color w:val="auto"/>
          <w:lang w:val="en-US" w:eastAsia="zh-CN"/>
        </w:rPr>
        <w:t>。</w:t>
      </w:r>
    </w:p>
    <w:p w14:paraId="2D005569">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lang w:eastAsia="zh-CN"/>
        </w:rPr>
      </w:pPr>
      <w:r>
        <w:rPr>
          <w:rFonts w:hint="eastAsia" w:ascii="Times New Roman" w:hAnsi="Times New Roman" w:eastAsia="仿宋" w:cs="Times New Roman"/>
          <w:color w:val="auto"/>
          <w:lang w:val="en-US" w:eastAsia="zh-CN"/>
        </w:rPr>
        <w:t>北京、广州电力交易中心</w:t>
      </w:r>
      <w:r>
        <w:rPr>
          <w:rFonts w:hint="default" w:ascii="Times New Roman" w:hAnsi="Times New Roman" w:eastAsia="仿宋" w:cs="Times New Roman"/>
          <w:color w:val="auto"/>
          <w:lang w:val="en-US" w:eastAsia="zh-CN"/>
        </w:rPr>
        <w:t>同步</w:t>
      </w:r>
      <w:r>
        <w:rPr>
          <w:rFonts w:hint="eastAsia" w:ascii="Times New Roman" w:hAnsi="Times New Roman" w:eastAsia="仿宋" w:cs="Times New Roman"/>
          <w:color w:val="auto"/>
          <w:lang w:val="en-US" w:eastAsia="zh-CN"/>
        </w:rPr>
        <w:t>将评价结果</w:t>
      </w:r>
      <w:r>
        <w:rPr>
          <w:rFonts w:hint="default" w:ascii="Times New Roman" w:hAnsi="Times New Roman" w:eastAsia="仿宋" w:cs="Times New Roman"/>
          <w:color w:val="auto"/>
          <w:lang w:val="en-US" w:eastAsia="zh-CN"/>
        </w:rPr>
        <w:t>推送全国信用信息共享平台（“信用中国”</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能源行业信用信息平台（“信用能源”</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eastAsia="zh-CN"/>
        </w:rPr>
        <w:t>。各省级电力交易中心</w:t>
      </w:r>
      <w:r>
        <w:rPr>
          <w:rFonts w:hint="eastAsia" w:ascii="Times New Roman" w:hAnsi="Times New Roman" w:eastAsia="仿宋" w:cs="Times New Roman"/>
          <w:color w:val="auto"/>
          <w:lang w:val="en-US" w:eastAsia="zh-CN"/>
        </w:rPr>
        <w:t>同时</w:t>
      </w:r>
      <w:r>
        <w:rPr>
          <w:rFonts w:hint="default" w:ascii="Times New Roman" w:hAnsi="Times New Roman" w:eastAsia="仿宋" w:cs="Times New Roman"/>
          <w:color w:val="auto"/>
          <w:lang w:eastAsia="zh-CN"/>
        </w:rPr>
        <w:t>将评价结果报备省级能源主管部门及相关部门、国家能源局派出机构。</w:t>
      </w:r>
    </w:p>
    <w:p w14:paraId="4B92FB44">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内蒙古电力交易中心参照北京、广州电力交易中心评价工作流程及相关要求，规范开展经营主体的初评、公示和评价结果发布及报备等工作。</w:t>
      </w:r>
    </w:p>
    <w:p w14:paraId="39CE013E">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jc w:val="both"/>
        <w:textAlignment w:val="baseline"/>
        <w:rPr>
          <w:rFonts w:hint="default" w:ascii="Times New Roman" w:hAnsi="Times New Roman" w:eastAsia="仿宋" w:cs="Times New Roman"/>
          <w:color w:val="auto"/>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三</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eastAsia="zh-CN"/>
        </w:rPr>
        <w:t>全国统一电力市场信用评价采用定期评价与动态</w:t>
      </w:r>
      <w:r>
        <w:rPr>
          <w:rFonts w:hint="default" w:ascii="Times New Roman" w:hAnsi="Times New Roman" w:eastAsia="仿宋" w:cs="Times New Roman"/>
          <w:color w:val="auto"/>
          <w:lang w:val="en-US" w:eastAsia="zh-CN"/>
        </w:rPr>
        <w:t>调整</w:t>
      </w:r>
      <w:r>
        <w:rPr>
          <w:rFonts w:hint="default" w:ascii="Times New Roman" w:hAnsi="Times New Roman" w:eastAsia="仿宋" w:cs="Times New Roman"/>
          <w:color w:val="auto"/>
          <w:lang w:eastAsia="zh-CN"/>
        </w:rPr>
        <w:t>相结合</w:t>
      </w:r>
      <w:r>
        <w:rPr>
          <w:rFonts w:hint="default" w:ascii="Times New Roman" w:hAnsi="Times New Roman" w:eastAsia="仿宋" w:cs="Times New Roman"/>
          <w:color w:val="auto"/>
          <w:lang w:val="en-US" w:eastAsia="zh-CN"/>
        </w:rPr>
        <w:t>的方式</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eastAsia="zh-CN"/>
        </w:rPr>
        <w:t>原则上每季度</w:t>
      </w:r>
      <w:r>
        <w:rPr>
          <w:rFonts w:hint="eastAsia" w:ascii="Times New Roman" w:hAnsi="Times New Roman" w:eastAsia="仿宋" w:cs="Times New Roman"/>
          <w:color w:val="auto"/>
          <w:lang w:val="en-US" w:eastAsia="zh-CN"/>
        </w:rPr>
        <w:t>开展</w:t>
      </w:r>
      <w:r>
        <w:rPr>
          <w:rFonts w:hint="default" w:ascii="Times New Roman" w:hAnsi="Times New Roman" w:eastAsia="仿宋" w:cs="Times New Roman"/>
          <w:color w:val="auto"/>
          <w:lang w:eastAsia="zh-CN"/>
        </w:rPr>
        <w:t>一次。电力交易机构</w:t>
      </w:r>
      <w:r>
        <w:rPr>
          <w:rFonts w:hint="default" w:ascii="Times New Roman" w:hAnsi="Times New Roman" w:eastAsia="仿宋" w:cs="Times New Roman"/>
          <w:color w:val="auto"/>
          <w:lang w:val="en-US" w:eastAsia="zh-CN"/>
        </w:rPr>
        <w:t>获取到新增严重失信主体名单信息</w:t>
      </w:r>
      <w:r>
        <w:rPr>
          <w:rFonts w:hint="eastAsia" w:ascii="Times New Roman" w:hAnsi="Times New Roman" w:eastAsia="仿宋" w:cs="Times New Roman"/>
          <w:color w:val="auto"/>
          <w:lang w:val="en-US" w:eastAsia="zh-CN"/>
        </w:rPr>
        <w:t>后</w:t>
      </w:r>
      <w:r>
        <w:rPr>
          <w:rFonts w:hint="default" w:ascii="Times New Roman" w:hAnsi="Times New Roman" w:eastAsia="仿宋" w:cs="Times New Roman"/>
          <w:color w:val="auto"/>
          <w:lang w:val="en-US" w:eastAsia="zh-CN"/>
        </w:rPr>
        <w:t>，需在5个工作日内将相关</w:t>
      </w:r>
      <w:r>
        <w:rPr>
          <w:rFonts w:hint="eastAsia" w:ascii="Times New Roman" w:hAnsi="Times New Roman" w:eastAsia="仿宋" w:cs="Times New Roman"/>
          <w:color w:val="auto"/>
          <w:lang w:val="en-US" w:eastAsia="zh-CN"/>
        </w:rPr>
        <w:t>受评</w:t>
      </w:r>
      <w:r>
        <w:rPr>
          <w:rFonts w:hint="default" w:ascii="Times New Roman" w:hAnsi="Times New Roman" w:eastAsia="仿宋" w:cs="Times New Roman"/>
          <w:color w:val="auto"/>
          <w:lang w:val="en-US" w:eastAsia="zh-CN"/>
        </w:rPr>
        <w:t>经营主体调整为“D”级，由电力交易</w:t>
      </w:r>
      <w:r>
        <w:rPr>
          <w:rFonts w:hint="eastAsia" w:ascii="Times New Roman" w:hAnsi="Times New Roman" w:eastAsia="仿宋" w:cs="Times New Roman"/>
          <w:color w:val="auto"/>
          <w:lang w:val="en-US" w:eastAsia="zh-CN"/>
        </w:rPr>
        <w:t>机构</w:t>
      </w:r>
      <w:r>
        <w:rPr>
          <w:rFonts w:hint="default" w:ascii="Times New Roman" w:hAnsi="Times New Roman" w:eastAsia="仿宋" w:cs="Times New Roman"/>
          <w:color w:val="auto"/>
          <w:lang w:val="en-US" w:eastAsia="zh-CN"/>
        </w:rPr>
        <w:t>作好公示。</w:t>
      </w:r>
    </w:p>
    <w:p w14:paraId="5EA71299">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四</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电力交易机构</w:t>
      </w:r>
      <w:r>
        <w:rPr>
          <w:rFonts w:hint="eastAsia" w:ascii="Times New Roman" w:hAnsi="Times New Roman" w:eastAsia="仿宋" w:cs="Times New Roman"/>
          <w:color w:val="auto"/>
          <w:lang w:val="en-US" w:eastAsia="zh-CN"/>
        </w:rPr>
        <w:t>做好受评</w:t>
      </w:r>
      <w:r>
        <w:rPr>
          <w:rFonts w:hint="default" w:ascii="Times New Roman" w:hAnsi="Times New Roman" w:eastAsia="仿宋" w:cs="Times New Roman"/>
          <w:color w:val="auto"/>
          <w:lang w:eastAsia="zh-CN"/>
        </w:rPr>
        <w:t>经营主体信用</w:t>
      </w:r>
      <w:r>
        <w:rPr>
          <w:rFonts w:hint="default" w:ascii="Times New Roman" w:hAnsi="Times New Roman" w:eastAsia="仿宋" w:cs="Times New Roman"/>
          <w:color w:val="auto"/>
          <w:lang w:val="en-US" w:eastAsia="zh-CN"/>
        </w:rPr>
        <w:t>信息</w:t>
      </w:r>
      <w:r>
        <w:rPr>
          <w:rFonts w:hint="default" w:ascii="Times New Roman" w:hAnsi="Times New Roman" w:eastAsia="仿宋" w:cs="Times New Roman"/>
          <w:color w:val="auto"/>
          <w:lang w:eastAsia="zh-CN"/>
        </w:rPr>
        <w:t>管理，确保信用信息基础数据和相关信息可查询、可追溯。信用评价信息</w:t>
      </w:r>
      <w:r>
        <w:rPr>
          <w:rFonts w:hint="eastAsia" w:ascii="Times New Roman" w:hAnsi="Times New Roman" w:eastAsia="仿宋" w:cs="Times New Roman"/>
          <w:color w:val="auto"/>
          <w:lang w:val="en-US" w:eastAsia="zh-CN"/>
        </w:rPr>
        <w:t>可查询</w:t>
      </w:r>
      <w:r>
        <w:rPr>
          <w:rFonts w:hint="default" w:ascii="Times New Roman" w:hAnsi="Times New Roman" w:eastAsia="仿宋" w:cs="Times New Roman"/>
          <w:color w:val="auto"/>
          <w:lang w:eastAsia="zh-CN"/>
        </w:rPr>
        <w:t>时限</w:t>
      </w:r>
      <w:r>
        <w:rPr>
          <w:rFonts w:hint="eastAsia" w:ascii="Times New Roman" w:hAnsi="Times New Roman" w:eastAsia="仿宋" w:cs="Times New Roman"/>
          <w:color w:val="auto"/>
          <w:lang w:val="en-US" w:eastAsia="zh-CN"/>
        </w:rPr>
        <w:t>为</w:t>
      </w:r>
      <w:r>
        <w:rPr>
          <w:rFonts w:hint="default" w:ascii="Times New Roman" w:hAnsi="Times New Roman" w:eastAsia="仿宋" w:cs="Times New Roman"/>
          <w:color w:val="auto"/>
          <w:lang w:eastAsia="zh-CN"/>
        </w:rPr>
        <w:t>自评价结果发布之日起</w:t>
      </w:r>
      <w:r>
        <w:rPr>
          <w:rFonts w:hint="eastAsia" w:ascii="Times New Roman" w:hAnsi="Times New Roman" w:eastAsia="仿宋" w:cs="Times New Roman"/>
          <w:color w:val="auto"/>
          <w:lang w:val="en-US" w:eastAsia="zh-CN"/>
        </w:rPr>
        <w:t>3</w:t>
      </w:r>
      <w:r>
        <w:rPr>
          <w:rFonts w:hint="default" w:ascii="Times New Roman" w:hAnsi="Times New Roman" w:eastAsia="仿宋" w:cs="Times New Roman"/>
          <w:color w:val="auto"/>
          <w:lang w:eastAsia="zh-CN"/>
        </w:rPr>
        <w:t>年</w:t>
      </w:r>
      <w:r>
        <w:rPr>
          <w:rFonts w:hint="default" w:ascii="Times New Roman" w:hAnsi="Times New Roman" w:eastAsia="仿宋" w:cs="Times New Roman"/>
          <w:color w:val="auto"/>
          <w:lang w:val="en-US" w:eastAsia="zh-CN"/>
        </w:rPr>
        <w:t>。</w:t>
      </w:r>
    </w:p>
    <w:p w14:paraId="06CF2A3B">
      <w:pPr>
        <w:keepNext w:val="0"/>
        <w:keepLines w:val="0"/>
        <w:pageBreakBefore w:val="0"/>
        <w:widowControl w:val="0"/>
        <w:kinsoku/>
        <w:wordWrap/>
        <w:overflowPunct w:val="0"/>
        <w:topLinePunct w:val="0"/>
        <w:autoSpaceDE/>
        <w:autoSpaceDN/>
        <w:bidi w:val="0"/>
        <w:adjustRightInd w:val="0"/>
        <w:snapToGrid w:val="0"/>
        <w:spacing w:before="0" w:beforeLines="100" w:after="0" w:afterLines="100" w:line="560" w:lineRule="exact"/>
        <w:ind w:left="0"/>
        <w:jc w:val="center"/>
        <w:textAlignment w:val="baseline"/>
        <w:outlineLvl w:val="0"/>
        <w:rPr>
          <w:rFonts w:hint="default" w:ascii="黑体" w:hAnsi="黑体" w:eastAsia="黑体" w:cs="黑体"/>
          <w:spacing w:val="3"/>
          <w:sz w:val="32"/>
          <w:szCs w:val="32"/>
          <w:lang w:val="en-US" w:eastAsia="zh-CN"/>
        </w:rPr>
      </w:pPr>
      <w:r>
        <w:rPr>
          <w:rFonts w:ascii="黑体" w:hAnsi="黑体" w:eastAsia="黑体" w:cs="黑体"/>
          <w:spacing w:val="3"/>
          <w:sz w:val="32"/>
          <w:szCs w:val="32"/>
        </w:rPr>
        <w:t>第四章</w:t>
      </w:r>
      <w:r>
        <w:rPr>
          <w:rFonts w:hint="default" w:ascii="黑体" w:hAnsi="黑体" w:eastAsia="黑体" w:cs="黑体"/>
          <w:spacing w:val="3"/>
          <w:sz w:val="32"/>
          <w:szCs w:val="32"/>
          <w:lang w:val="en-US" w:eastAsia="zh-CN"/>
        </w:rPr>
        <w:t xml:space="preserve">  信用评价应用</w:t>
      </w:r>
    </w:p>
    <w:p w14:paraId="3ED49DC8">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五</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鼓励各地区在能源</w:t>
      </w:r>
      <w:r>
        <w:rPr>
          <w:rFonts w:hint="eastAsia" w:ascii="Times New Roman" w:hAnsi="Times New Roman" w:eastAsia="仿宋" w:cs="Times New Roman"/>
          <w:color w:val="auto"/>
          <w:lang w:val="en-US" w:eastAsia="zh-CN"/>
        </w:rPr>
        <w:t>主管部门和</w:t>
      </w:r>
      <w:r>
        <w:rPr>
          <w:rFonts w:hint="default" w:ascii="Times New Roman" w:hAnsi="Times New Roman" w:eastAsia="仿宋" w:cs="Times New Roman"/>
          <w:color w:val="auto"/>
          <w:lang w:val="en-US" w:eastAsia="zh-CN"/>
        </w:rPr>
        <w:t>监管机构</w:t>
      </w:r>
      <w:r>
        <w:rPr>
          <w:rFonts w:hint="eastAsia" w:ascii="Times New Roman" w:hAnsi="Times New Roman" w:eastAsia="仿宋" w:cs="Times New Roman"/>
          <w:color w:val="auto"/>
          <w:lang w:val="en-US" w:eastAsia="zh-CN"/>
        </w:rPr>
        <w:t>指导</w:t>
      </w:r>
      <w:r>
        <w:rPr>
          <w:rFonts w:hint="default" w:ascii="Times New Roman" w:hAnsi="Times New Roman" w:eastAsia="仿宋" w:cs="Times New Roman"/>
          <w:color w:val="auto"/>
          <w:lang w:val="en-US" w:eastAsia="zh-CN"/>
        </w:rPr>
        <w:t>下积极探索信用激励和约束措施。</w:t>
      </w:r>
    </w:p>
    <w:p w14:paraId="5BD5828A">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对信用评价为“A”级的，电力交易机构可在办理市场注册</w:t>
      </w:r>
      <w:r>
        <w:rPr>
          <w:rFonts w:hint="eastAsia" w:ascii="Times New Roman" w:hAnsi="Times New Roman" w:eastAsia="仿宋" w:cs="Times New Roman"/>
          <w:color w:val="auto"/>
          <w:lang w:val="en-US" w:eastAsia="zh-CN"/>
        </w:rPr>
        <w:t>信息</w:t>
      </w:r>
      <w:r>
        <w:rPr>
          <w:rFonts w:hint="default" w:ascii="Times New Roman" w:hAnsi="Times New Roman" w:eastAsia="仿宋" w:cs="Times New Roman"/>
          <w:color w:val="auto"/>
          <w:lang w:val="en-US" w:eastAsia="zh-CN"/>
        </w:rPr>
        <w:t>变更等业务时，或在代理电量规模、业务省份推送、持续性满足注册条件核验</w:t>
      </w:r>
      <w:r>
        <w:rPr>
          <w:rFonts w:hint="eastAsia" w:ascii="Times New Roman" w:hAnsi="Times New Roman" w:eastAsia="仿宋" w:cs="Times New Roman"/>
          <w:color w:val="auto"/>
          <w:lang w:val="en-US" w:eastAsia="zh-CN"/>
        </w:rPr>
        <w:t>方式和</w:t>
      </w:r>
      <w:r>
        <w:rPr>
          <w:rFonts w:hint="default" w:ascii="Times New Roman" w:hAnsi="Times New Roman" w:eastAsia="仿宋" w:cs="Times New Roman"/>
          <w:color w:val="auto"/>
          <w:lang w:val="en-US" w:eastAsia="zh-CN"/>
        </w:rPr>
        <w:t>频次</w:t>
      </w:r>
      <w:r>
        <w:rPr>
          <w:rFonts w:hint="eastAsia" w:ascii="Times New Roman" w:hAnsi="Times New Roman" w:eastAsia="仿宋" w:cs="Times New Roman"/>
          <w:color w:val="auto"/>
          <w:lang w:val="en-US" w:eastAsia="zh-CN"/>
        </w:rPr>
        <w:t>、容缺受理</w:t>
      </w:r>
      <w:r>
        <w:rPr>
          <w:rFonts w:hint="default" w:ascii="Times New Roman" w:hAnsi="Times New Roman" w:eastAsia="仿宋" w:cs="Times New Roman"/>
          <w:color w:val="auto"/>
          <w:lang w:val="en-US" w:eastAsia="zh-CN"/>
        </w:rPr>
        <w:t>等方面提供便利服务，按规定</w:t>
      </w:r>
      <w:r>
        <w:rPr>
          <w:rFonts w:hint="eastAsia" w:ascii="Times New Roman" w:hAnsi="Times New Roman" w:eastAsia="仿宋" w:cs="Times New Roman"/>
          <w:color w:val="auto"/>
          <w:lang w:val="en-US" w:eastAsia="zh-CN"/>
        </w:rPr>
        <w:t>适当</w:t>
      </w:r>
      <w:r>
        <w:rPr>
          <w:rFonts w:hint="default" w:ascii="Times New Roman" w:hAnsi="Times New Roman" w:eastAsia="仿宋" w:cs="Times New Roman"/>
          <w:color w:val="auto"/>
          <w:lang w:val="en-US" w:eastAsia="zh-CN"/>
        </w:rPr>
        <w:t>降低履约</w:t>
      </w:r>
      <w:r>
        <w:rPr>
          <w:rFonts w:hint="eastAsia" w:ascii="Times New Roman" w:hAnsi="Times New Roman" w:eastAsia="仿宋" w:cs="Times New Roman"/>
          <w:color w:val="auto"/>
          <w:lang w:val="en-US" w:eastAsia="zh-CN"/>
        </w:rPr>
        <w:t>保障凭证</w:t>
      </w:r>
      <w:r>
        <w:rPr>
          <w:rFonts w:hint="default" w:ascii="Times New Roman" w:hAnsi="Times New Roman" w:eastAsia="仿宋" w:cs="Times New Roman"/>
          <w:color w:val="auto"/>
          <w:lang w:val="en-US" w:eastAsia="zh-CN"/>
        </w:rPr>
        <w:t>额度</w:t>
      </w:r>
      <w:r>
        <w:rPr>
          <w:rFonts w:hint="eastAsia" w:ascii="Times New Roman" w:hAnsi="Times New Roman" w:eastAsia="仿宋" w:cs="Times New Roman"/>
          <w:color w:val="auto"/>
          <w:lang w:val="en-US" w:eastAsia="zh-CN"/>
        </w:rPr>
        <w:t>、扩展履约保障形式、优先选择为保底售电公司、评先评优、优先推荐等激励措施</w:t>
      </w:r>
      <w:r>
        <w:rPr>
          <w:rFonts w:hint="default" w:ascii="Times New Roman" w:hAnsi="Times New Roman" w:eastAsia="仿宋" w:cs="Times New Roman"/>
          <w:color w:val="auto"/>
          <w:lang w:val="en-US" w:eastAsia="zh-CN"/>
        </w:rPr>
        <w:t>。</w:t>
      </w:r>
    </w:p>
    <w:p w14:paraId="7CF2C887">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对信用评价</w:t>
      </w:r>
      <w:r>
        <w:rPr>
          <w:rFonts w:hint="eastAsia" w:ascii="Times New Roman" w:hAnsi="Times New Roman" w:eastAsia="仿宋" w:cs="Times New Roman"/>
          <w:color w:val="auto"/>
          <w:lang w:val="en-US" w:eastAsia="zh-CN"/>
        </w:rPr>
        <w:t>为</w:t>
      </w:r>
      <w:r>
        <w:rPr>
          <w:rFonts w:hint="default" w:ascii="Times New Roman" w:hAnsi="Times New Roman" w:eastAsia="仿宋" w:cs="Times New Roman"/>
          <w:color w:val="auto"/>
          <w:lang w:val="en-US" w:eastAsia="zh-CN"/>
        </w:rPr>
        <w:t>“B”级</w:t>
      </w:r>
      <w:r>
        <w:rPr>
          <w:rFonts w:hint="eastAsia" w:ascii="Times New Roman" w:hAnsi="Times New Roman" w:eastAsia="仿宋" w:cs="Times New Roman"/>
          <w:color w:val="auto"/>
          <w:lang w:val="en-US" w:eastAsia="zh-CN"/>
        </w:rPr>
        <w:t>的，</w:t>
      </w:r>
      <w:r>
        <w:rPr>
          <w:rFonts w:hint="default" w:ascii="Times New Roman" w:hAnsi="Times New Roman" w:eastAsia="仿宋" w:cs="Times New Roman"/>
          <w:color w:val="auto"/>
          <w:lang w:val="en-US" w:eastAsia="zh-CN"/>
        </w:rPr>
        <w:t>按常规</w:t>
      </w:r>
      <w:r>
        <w:rPr>
          <w:rFonts w:hint="eastAsia" w:ascii="Times New Roman" w:hAnsi="Times New Roman" w:eastAsia="仿宋" w:cs="Times New Roman"/>
          <w:color w:val="auto"/>
          <w:lang w:val="en-US" w:eastAsia="zh-CN"/>
        </w:rPr>
        <w:t>办理业务，</w:t>
      </w:r>
      <w:r>
        <w:rPr>
          <w:rFonts w:hint="default" w:ascii="Times New Roman" w:hAnsi="Times New Roman" w:eastAsia="仿宋" w:cs="Times New Roman"/>
          <w:color w:val="auto"/>
          <w:lang w:val="en-US" w:eastAsia="zh-CN"/>
        </w:rPr>
        <w:t>不</w:t>
      </w:r>
      <w:r>
        <w:rPr>
          <w:rFonts w:hint="eastAsia" w:ascii="Times New Roman" w:hAnsi="Times New Roman" w:eastAsia="仿宋" w:cs="Times New Roman"/>
          <w:color w:val="auto"/>
          <w:lang w:val="en-US" w:eastAsia="zh-CN"/>
        </w:rPr>
        <w:t>实施</w:t>
      </w:r>
      <w:r>
        <w:rPr>
          <w:rFonts w:hint="default" w:ascii="Times New Roman" w:hAnsi="Times New Roman" w:eastAsia="仿宋" w:cs="Times New Roman"/>
          <w:color w:val="auto"/>
          <w:lang w:val="en-US" w:eastAsia="zh-CN"/>
        </w:rPr>
        <w:t>激励</w:t>
      </w:r>
      <w:r>
        <w:rPr>
          <w:rFonts w:hint="eastAsia" w:ascii="Times New Roman" w:hAnsi="Times New Roman" w:eastAsia="仿宋" w:cs="Times New Roman"/>
          <w:color w:val="auto"/>
          <w:lang w:val="en-US" w:eastAsia="zh-CN"/>
        </w:rPr>
        <w:t>措施</w:t>
      </w:r>
      <w:r>
        <w:rPr>
          <w:rFonts w:hint="default" w:ascii="Times New Roman" w:hAnsi="Times New Roman" w:eastAsia="仿宋" w:cs="Times New Roman"/>
          <w:color w:val="auto"/>
          <w:lang w:val="en-US" w:eastAsia="zh-CN"/>
        </w:rPr>
        <w:t>。</w:t>
      </w:r>
    </w:p>
    <w:p w14:paraId="0FAD63BB">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六</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对信用评价为“C”、“D”级的，电力交易机构应予以重点关注，</w:t>
      </w:r>
      <w:r>
        <w:rPr>
          <w:rFonts w:hint="eastAsia" w:ascii="Times New Roman" w:hAnsi="Times New Roman" w:eastAsia="仿宋" w:cs="Times New Roman"/>
          <w:color w:val="auto"/>
          <w:lang w:val="en-US" w:eastAsia="zh-CN"/>
        </w:rPr>
        <w:t>可采取以下信用约</w:t>
      </w:r>
      <w:bookmarkStart w:id="0" w:name="_GoBack"/>
      <w:bookmarkEnd w:id="0"/>
      <w:r>
        <w:rPr>
          <w:rFonts w:hint="eastAsia" w:ascii="Times New Roman" w:hAnsi="Times New Roman" w:eastAsia="仿宋" w:cs="Times New Roman"/>
          <w:color w:val="auto"/>
          <w:lang w:val="en-US" w:eastAsia="zh-CN"/>
        </w:rPr>
        <w:t>束措施：</w:t>
      </w:r>
      <w:r>
        <w:rPr>
          <w:rFonts w:hint="default" w:ascii="Times New Roman" w:hAnsi="Times New Roman" w:eastAsia="仿宋" w:cs="Times New Roman"/>
          <w:color w:val="auto"/>
          <w:lang w:val="en-US" w:eastAsia="zh-CN"/>
        </w:rPr>
        <w:t>限制</w:t>
      </w:r>
      <w:r>
        <w:rPr>
          <w:rFonts w:hint="eastAsia" w:ascii="Times New Roman" w:hAnsi="Times New Roman" w:eastAsia="仿宋" w:cs="Times New Roman"/>
          <w:color w:val="auto"/>
          <w:lang w:val="en-US" w:eastAsia="zh-CN"/>
        </w:rPr>
        <w:t>向</w:t>
      </w:r>
      <w:r>
        <w:rPr>
          <w:rFonts w:hint="default" w:ascii="Times New Roman" w:hAnsi="Times New Roman" w:eastAsia="仿宋" w:cs="Times New Roman"/>
          <w:color w:val="auto"/>
          <w:lang w:val="en-US" w:eastAsia="zh-CN"/>
        </w:rPr>
        <w:t>其提供信用承诺、绿色通道、容缺受理等便利服务</w:t>
      </w:r>
      <w:r>
        <w:rPr>
          <w:rFonts w:hint="eastAsia" w:ascii="Times New Roman" w:hAnsi="Times New Roman" w:eastAsia="仿宋" w:cs="Times New Roman"/>
          <w:color w:val="auto"/>
          <w:lang w:val="en-US" w:eastAsia="zh-CN"/>
        </w:rPr>
        <w:t>，</w:t>
      </w:r>
      <w:r>
        <w:rPr>
          <w:rFonts w:hint="default" w:ascii="Times New Roman" w:hAnsi="Times New Roman" w:eastAsia="仿宋" w:cs="Times New Roman"/>
          <w:color w:val="auto"/>
          <w:lang w:val="en-US" w:eastAsia="zh-CN"/>
        </w:rPr>
        <w:t>按规定</w:t>
      </w:r>
      <w:r>
        <w:rPr>
          <w:rFonts w:hint="eastAsia" w:ascii="Times New Roman" w:hAnsi="Times New Roman" w:eastAsia="仿宋" w:cs="Times New Roman"/>
          <w:color w:val="auto"/>
          <w:lang w:val="en-US" w:eastAsia="zh-CN"/>
        </w:rPr>
        <w:t>适当</w:t>
      </w:r>
      <w:r>
        <w:rPr>
          <w:rFonts w:hint="default" w:ascii="Times New Roman" w:hAnsi="Times New Roman" w:eastAsia="仿宋" w:cs="Times New Roman"/>
          <w:color w:val="auto"/>
          <w:lang w:val="en-US" w:eastAsia="zh-CN"/>
        </w:rPr>
        <w:t>提高其履约</w:t>
      </w:r>
      <w:r>
        <w:rPr>
          <w:rFonts w:hint="eastAsia" w:ascii="Times New Roman" w:hAnsi="Times New Roman" w:eastAsia="仿宋" w:cs="Times New Roman"/>
          <w:color w:val="auto"/>
          <w:lang w:val="en-US" w:eastAsia="zh-CN"/>
        </w:rPr>
        <w:t>保障凭证</w:t>
      </w:r>
      <w:r>
        <w:rPr>
          <w:rFonts w:hint="default" w:ascii="Times New Roman" w:hAnsi="Times New Roman" w:eastAsia="仿宋" w:cs="Times New Roman"/>
          <w:color w:val="auto"/>
          <w:lang w:val="en-US" w:eastAsia="zh-CN"/>
        </w:rPr>
        <w:t>额度</w:t>
      </w:r>
      <w:r>
        <w:rPr>
          <w:rFonts w:hint="eastAsia" w:ascii="Times New Roman" w:hAnsi="Times New Roman" w:eastAsia="仿宋" w:cs="Times New Roman"/>
          <w:color w:val="auto"/>
          <w:lang w:val="en-US" w:eastAsia="zh-CN"/>
        </w:rPr>
        <w:t>且不得以履约保险形式提交增量履约保障凭证，提高注册条件核验频次，</w:t>
      </w:r>
      <w:r>
        <w:rPr>
          <w:rFonts w:hint="default" w:ascii="Times New Roman" w:hAnsi="Times New Roman" w:eastAsia="仿宋" w:cs="Times New Roman"/>
          <w:color w:val="auto"/>
          <w:lang w:val="en-US" w:eastAsia="zh-CN"/>
        </w:rPr>
        <w:t>向市场成员及相关主体提示市场交易风险</w:t>
      </w:r>
      <w:r>
        <w:rPr>
          <w:rFonts w:hint="eastAsia" w:ascii="Times New Roman" w:hAnsi="Times New Roman" w:eastAsia="仿宋" w:cs="Times New Roman"/>
          <w:color w:val="auto"/>
          <w:lang w:val="en-US" w:eastAsia="zh-CN"/>
        </w:rPr>
        <w:t>等</w:t>
      </w:r>
      <w:r>
        <w:rPr>
          <w:rFonts w:hint="default" w:ascii="Times New Roman" w:hAnsi="Times New Roman" w:eastAsia="仿宋" w:cs="Times New Roman"/>
          <w:color w:val="auto"/>
          <w:lang w:val="en-US" w:eastAsia="zh-CN"/>
        </w:rPr>
        <w:t>。</w:t>
      </w:r>
    </w:p>
    <w:p w14:paraId="4640C0AA">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textAlignment w:val="baseline"/>
        <w:rPr>
          <w:rFonts w:hint="default"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对存在严重失信信息或被列入严重失信主体名单的，原则上不得选为市场管理委员会成员。</w:t>
      </w:r>
    </w:p>
    <w:p w14:paraId="1C53389C">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spacing w:val="0"/>
          <w:lang w:eastAsia="zh-CN"/>
        </w:rPr>
      </w:pPr>
      <w:r>
        <w:rPr>
          <w:rFonts w:hint="default" w:ascii="黑体" w:hAnsi="黑体" w:eastAsia="黑体" w:cs="黑体"/>
          <w:color w:val="auto"/>
          <w:lang w:val="en-US" w:eastAsia="zh-CN"/>
        </w:rPr>
        <w:t>第十</w:t>
      </w:r>
      <w:r>
        <w:rPr>
          <w:rFonts w:hint="eastAsia" w:ascii="黑体" w:hAnsi="黑体" w:eastAsia="黑体" w:cs="黑体"/>
          <w:color w:val="auto"/>
          <w:lang w:val="en-US" w:eastAsia="zh-CN"/>
        </w:rPr>
        <w:t>七</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spacing w:val="0"/>
          <w:lang w:val="en-US" w:eastAsia="zh-CN"/>
        </w:rPr>
        <w:t>国家能源局及其</w:t>
      </w:r>
      <w:r>
        <w:rPr>
          <w:rFonts w:hint="default" w:ascii="Times New Roman" w:hAnsi="Times New Roman" w:eastAsia="仿宋" w:cs="Times New Roman"/>
          <w:color w:val="auto"/>
          <w:spacing w:val="0"/>
          <w:lang w:eastAsia="zh-CN"/>
        </w:rPr>
        <w:t>派出机构、</w:t>
      </w:r>
      <w:r>
        <w:rPr>
          <w:rFonts w:hint="eastAsia" w:ascii="Times New Roman" w:hAnsi="Times New Roman" w:eastAsia="仿宋" w:cs="Times New Roman"/>
          <w:color w:val="auto"/>
          <w:spacing w:val="0"/>
          <w:lang w:val="en-US" w:eastAsia="zh-CN"/>
        </w:rPr>
        <w:t>省级能源</w:t>
      </w:r>
      <w:r>
        <w:rPr>
          <w:rFonts w:hint="default" w:ascii="Times New Roman" w:hAnsi="Times New Roman" w:eastAsia="仿宋" w:cs="Times New Roman"/>
          <w:color w:val="auto"/>
          <w:spacing w:val="0"/>
          <w:lang w:val="en-US" w:eastAsia="zh-CN"/>
        </w:rPr>
        <w:t>主管部门及相关部门</w:t>
      </w:r>
      <w:r>
        <w:rPr>
          <w:rFonts w:hint="eastAsia" w:ascii="Times New Roman" w:hAnsi="Times New Roman" w:eastAsia="仿宋" w:cs="Times New Roman"/>
          <w:color w:val="auto"/>
          <w:spacing w:val="0"/>
          <w:lang w:val="en-US" w:eastAsia="zh-CN"/>
        </w:rPr>
        <w:t>应当</w:t>
      </w:r>
      <w:r>
        <w:rPr>
          <w:rFonts w:hint="default" w:ascii="Times New Roman" w:hAnsi="Times New Roman" w:eastAsia="仿宋" w:cs="Times New Roman"/>
          <w:color w:val="auto"/>
          <w:spacing w:val="0"/>
          <w:lang w:val="en-US" w:eastAsia="zh-CN"/>
        </w:rPr>
        <w:t>以电力市场信用评价为参考，</w:t>
      </w:r>
      <w:r>
        <w:rPr>
          <w:rFonts w:hint="default" w:ascii="Times New Roman" w:hAnsi="Times New Roman" w:eastAsia="仿宋" w:cs="Times New Roman"/>
          <w:color w:val="auto"/>
          <w:spacing w:val="0"/>
          <w:lang w:eastAsia="zh-CN"/>
        </w:rPr>
        <w:t>对经营主体实施</w:t>
      </w:r>
      <w:r>
        <w:rPr>
          <w:rFonts w:hint="eastAsia" w:ascii="Times New Roman" w:hAnsi="Times New Roman" w:eastAsia="仿宋" w:cs="Times New Roman"/>
          <w:color w:val="auto"/>
          <w:spacing w:val="0"/>
          <w:lang w:val="en-US" w:eastAsia="zh-CN"/>
        </w:rPr>
        <w:t>差异化</w:t>
      </w:r>
      <w:r>
        <w:rPr>
          <w:rFonts w:hint="default" w:ascii="Times New Roman" w:hAnsi="Times New Roman" w:eastAsia="仿宋" w:cs="Times New Roman"/>
          <w:color w:val="auto"/>
          <w:spacing w:val="0"/>
          <w:lang w:eastAsia="zh-CN"/>
        </w:rPr>
        <w:t>监管。对</w:t>
      </w:r>
      <w:r>
        <w:rPr>
          <w:rFonts w:hint="default" w:ascii="Times New Roman" w:hAnsi="Times New Roman" w:eastAsia="仿宋" w:cs="Times New Roman"/>
          <w:color w:val="auto"/>
          <w:spacing w:val="0"/>
          <w:lang w:val="en-US" w:eastAsia="zh-CN"/>
        </w:rPr>
        <w:t>信用</w:t>
      </w:r>
      <w:r>
        <w:rPr>
          <w:rFonts w:hint="eastAsia" w:ascii="Times New Roman" w:hAnsi="Times New Roman" w:eastAsia="仿宋" w:cs="Times New Roman"/>
          <w:color w:val="auto"/>
          <w:spacing w:val="0"/>
          <w:lang w:val="en-US" w:eastAsia="zh-CN"/>
        </w:rPr>
        <w:t>评价</w:t>
      </w:r>
      <w:r>
        <w:rPr>
          <w:rFonts w:hint="default" w:ascii="Times New Roman" w:hAnsi="Times New Roman" w:eastAsia="仿宋" w:cs="Times New Roman"/>
          <w:color w:val="auto"/>
          <w:spacing w:val="0"/>
          <w:lang w:eastAsia="zh-CN"/>
        </w:rPr>
        <w:t>为“A”、“B”级的，开展包容审慎监管，降低抽查比例和频次。</w:t>
      </w:r>
      <w:r>
        <w:rPr>
          <w:rFonts w:hint="default" w:ascii="Times New Roman" w:hAnsi="Times New Roman" w:eastAsia="仿宋" w:cs="Times New Roman"/>
          <w:color w:val="auto"/>
          <w:spacing w:val="0"/>
          <w:lang w:val="en-US" w:eastAsia="zh-CN"/>
        </w:rPr>
        <w:t>对信用</w:t>
      </w:r>
      <w:r>
        <w:rPr>
          <w:rFonts w:hint="eastAsia" w:ascii="Times New Roman" w:hAnsi="Times New Roman" w:eastAsia="仿宋" w:cs="Times New Roman"/>
          <w:color w:val="auto"/>
          <w:spacing w:val="0"/>
          <w:lang w:val="en-US" w:eastAsia="zh-CN"/>
        </w:rPr>
        <w:t>评价</w:t>
      </w:r>
      <w:r>
        <w:rPr>
          <w:rFonts w:hint="default" w:ascii="Times New Roman" w:hAnsi="Times New Roman" w:eastAsia="仿宋" w:cs="Times New Roman"/>
          <w:color w:val="auto"/>
          <w:spacing w:val="0"/>
          <w:lang w:eastAsia="zh-CN"/>
        </w:rPr>
        <w:t>为“C”、“D”级的，加强重点监管，提高抽查比例和频次。</w:t>
      </w:r>
    </w:p>
    <w:p w14:paraId="28B3494A">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Times New Roman" w:hAnsi="Times New Roman" w:eastAsia="仿宋" w:cs="Times New Roman"/>
          <w:color w:val="auto"/>
          <w:lang w:val="en-US" w:eastAsia="zh-CN"/>
        </w:rPr>
        <w:t>对存在严重违法失信行为或列入严重失信主体名单的经营主体，依法依规限制其参与市场交易，或强制其退出市场。</w:t>
      </w:r>
    </w:p>
    <w:p w14:paraId="7DE6D157">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w:t>
      </w:r>
      <w:r>
        <w:rPr>
          <w:rFonts w:hint="eastAsia" w:ascii="黑体" w:hAnsi="黑体" w:eastAsia="黑体" w:cs="黑体"/>
          <w:color w:val="auto"/>
          <w:lang w:val="en-US" w:eastAsia="zh-CN"/>
        </w:rPr>
        <w:t>十八</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对行政处罚、严重失信主体名单等公共信用信息，符合修复条件的，按要求在“信用中国”申请</w:t>
      </w:r>
      <w:r>
        <w:rPr>
          <w:rFonts w:hint="eastAsia" w:ascii="Times New Roman" w:hAnsi="Times New Roman" w:eastAsia="仿宋" w:cs="Times New Roman"/>
          <w:color w:val="auto"/>
          <w:lang w:val="en-US" w:eastAsia="zh-CN"/>
        </w:rPr>
        <w:t>修复，</w:t>
      </w:r>
      <w:r>
        <w:rPr>
          <w:rFonts w:hint="default" w:ascii="Times New Roman" w:hAnsi="Times New Roman" w:eastAsia="仿宋" w:cs="Times New Roman"/>
          <w:color w:val="auto"/>
          <w:lang w:val="en-US" w:eastAsia="zh-CN"/>
        </w:rPr>
        <w:t>电力市场信用信息系统应及时更新相关信息，并根据更新后的信息开展信用评价。</w:t>
      </w:r>
    </w:p>
    <w:p w14:paraId="530A81D8">
      <w:pPr>
        <w:pStyle w:val="4"/>
        <w:keepNext w:val="0"/>
        <w:keepLines w:val="0"/>
        <w:pageBreakBefore w:val="0"/>
        <w:widowControl w:val="0"/>
        <w:kinsoku/>
        <w:wordWrap/>
        <w:overflowPunct w:val="0"/>
        <w:topLinePunct w:val="0"/>
        <w:autoSpaceDE/>
        <w:autoSpaceDN/>
        <w:bidi w:val="0"/>
        <w:adjustRightInd w:val="0"/>
        <w:snapToGrid w:val="0"/>
        <w:spacing w:before="0" w:beforeLines="100" w:after="0" w:afterLines="100" w:line="560" w:lineRule="exact"/>
        <w:ind w:left="0" w:firstLine="0" w:firstLineChars="0"/>
        <w:jc w:val="center"/>
        <w:textAlignment w:val="baseline"/>
        <w:outlineLvl w:val="0"/>
        <w:rPr>
          <w:rFonts w:ascii="黑体" w:hAnsi="黑体" w:eastAsia="黑体" w:cs="黑体"/>
          <w:spacing w:val="3"/>
          <w:sz w:val="32"/>
          <w:szCs w:val="32"/>
        </w:rPr>
      </w:pPr>
      <w:r>
        <w:rPr>
          <w:rFonts w:ascii="黑体" w:hAnsi="黑体" w:eastAsia="黑体" w:cs="黑体"/>
          <w:spacing w:val="3"/>
          <w:sz w:val="32"/>
          <w:szCs w:val="32"/>
        </w:rPr>
        <w:t>第五章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信息系统</w:t>
      </w:r>
      <w:r>
        <w:rPr>
          <w:rFonts w:hint="eastAsia" w:ascii="黑体" w:hAnsi="黑体" w:eastAsia="黑体" w:cs="黑体"/>
          <w:spacing w:val="3"/>
          <w:sz w:val="32"/>
          <w:szCs w:val="32"/>
          <w:lang w:eastAsia="zh-CN"/>
        </w:rPr>
        <w:t>保障</w:t>
      </w:r>
    </w:p>
    <w:p w14:paraId="74907C4D">
      <w:pPr>
        <w:pStyle w:val="4"/>
        <w:keepNext w:val="0"/>
        <w:keepLines w:val="0"/>
        <w:pageBreakBefore w:val="0"/>
        <w:widowControl w:val="0"/>
        <w:kinsoku/>
        <w:wordWrap/>
        <w:overflowPunct w:val="0"/>
        <w:topLinePunct w:val="0"/>
        <w:autoSpaceDE/>
        <w:autoSpaceDN/>
        <w:bidi w:val="0"/>
        <w:adjustRightInd w:val="0"/>
        <w:snapToGrid w:val="0"/>
        <w:spacing w:line="560" w:lineRule="exact"/>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rPr>
        <w:t>第</w:t>
      </w:r>
      <w:r>
        <w:rPr>
          <w:rFonts w:hint="eastAsia" w:ascii="黑体" w:hAnsi="黑体" w:eastAsia="黑体" w:cs="黑体"/>
          <w:color w:val="auto"/>
          <w:lang w:val="en-US" w:eastAsia="zh-CN"/>
        </w:rPr>
        <w:t>十九</w:t>
      </w:r>
      <w:r>
        <w:rPr>
          <w:rFonts w:hint="default" w:ascii="黑体" w:hAnsi="黑体" w:eastAsia="黑体" w:cs="黑体"/>
          <w:color w:val="auto"/>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北京、广州</w:t>
      </w:r>
      <w:r>
        <w:rPr>
          <w:rFonts w:hint="eastAsia" w:ascii="Times New Roman" w:hAnsi="Times New Roman" w:eastAsia="仿宋" w:cs="Times New Roman"/>
          <w:color w:val="auto"/>
          <w:lang w:val="en-US" w:eastAsia="zh-CN"/>
        </w:rPr>
        <w:t>、内蒙古</w:t>
      </w:r>
      <w:r>
        <w:rPr>
          <w:rFonts w:hint="default" w:ascii="Times New Roman" w:hAnsi="Times New Roman" w:eastAsia="仿宋" w:cs="Times New Roman"/>
          <w:color w:val="auto"/>
          <w:lang w:val="en-US" w:eastAsia="zh-CN"/>
        </w:rPr>
        <w:t>电力交易中心</w:t>
      </w:r>
      <w:r>
        <w:rPr>
          <w:rFonts w:hint="eastAsia" w:ascii="Times New Roman" w:hAnsi="Times New Roman" w:eastAsia="仿宋" w:cs="Times New Roman"/>
          <w:color w:val="auto"/>
          <w:lang w:val="en-US" w:eastAsia="zh-CN"/>
        </w:rPr>
        <w:t>按照国家统一的电力市场信用信息数据标准和接口规范，依托电力交易平台</w:t>
      </w:r>
      <w:r>
        <w:rPr>
          <w:rFonts w:hint="default" w:ascii="Times New Roman" w:hAnsi="Times New Roman" w:eastAsia="仿宋" w:cs="Times New Roman"/>
          <w:color w:val="auto"/>
          <w:lang w:val="en-US" w:eastAsia="zh-CN"/>
        </w:rPr>
        <w:t>建设电力市场信用信息系统</w:t>
      </w:r>
      <w:r>
        <w:rPr>
          <w:rFonts w:hint="eastAsia" w:ascii="Times New Roman" w:hAnsi="Times New Roman" w:eastAsia="仿宋" w:cs="Times New Roman"/>
          <w:color w:val="auto"/>
          <w:lang w:val="en-US" w:eastAsia="zh-CN"/>
        </w:rPr>
        <w:t>功能模块</w:t>
      </w:r>
      <w:r>
        <w:rPr>
          <w:rFonts w:hint="default" w:ascii="Times New Roman" w:hAnsi="Times New Roman" w:eastAsia="仿宋" w:cs="Times New Roman"/>
          <w:color w:val="auto"/>
          <w:lang w:val="en-US" w:eastAsia="zh-CN"/>
        </w:rPr>
        <w:t>，作为信用信息归集、评价、共享、发布的核心基础</w:t>
      </w:r>
      <w:r>
        <w:rPr>
          <w:rFonts w:hint="eastAsia" w:ascii="Times New Roman" w:hAnsi="Times New Roman" w:eastAsia="仿宋" w:cs="Times New Roman"/>
          <w:color w:val="auto"/>
          <w:lang w:val="en-US" w:eastAsia="zh-CN"/>
        </w:rPr>
        <w:t>设施，相互之间保持信用信息及评价结果的同步共享，并</w:t>
      </w:r>
      <w:r>
        <w:rPr>
          <w:rFonts w:hint="default" w:ascii="Times New Roman" w:hAnsi="Times New Roman" w:eastAsia="仿宋" w:cs="Times New Roman"/>
          <w:color w:val="auto"/>
          <w:lang w:val="en-US" w:eastAsia="zh-CN"/>
        </w:rPr>
        <w:t>与全国信用信息共享平台（“信用中国”）和能源行业信用信息平台（“信用能源”）等实现互联互通。</w:t>
      </w:r>
    </w:p>
    <w:p w14:paraId="22FE323B">
      <w:pPr>
        <w:pStyle w:val="4"/>
        <w:keepNext w:val="0"/>
        <w:keepLines w:val="0"/>
        <w:pageBreakBefore w:val="0"/>
        <w:widowControl w:val="0"/>
        <w:kinsoku/>
        <w:wordWrap/>
        <w:overflowPunct w:val="0"/>
        <w:topLinePunct w:val="0"/>
        <w:autoSpaceDE/>
        <w:autoSpaceDN/>
        <w:bidi w:val="0"/>
        <w:adjustRightInd w:val="0"/>
        <w:snapToGrid w:val="0"/>
        <w:spacing w:line="560" w:lineRule="exact"/>
        <w:textAlignment w:val="baseline"/>
        <w:rPr>
          <w:rFonts w:hint="default" w:ascii="Times New Roman" w:hAnsi="Times New Roman" w:eastAsia="仿宋" w:cs="Times New Roman"/>
          <w:color w:val="auto"/>
          <w:lang w:val="en-US" w:eastAsia="zh-CN"/>
        </w:rPr>
      </w:pPr>
      <w:r>
        <w:rPr>
          <w:rFonts w:hint="eastAsia" w:ascii="黑体" w:hAnsi="黑体" w:eastAsia="黑体" w:cs="黑体"/>
          <w:color w:val="auto"/>
          <w:lang w:val="en-US" w:eastAsia="zh-CN"/>
        </w:rPr>
        <w:t>第二十条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北京、广州电力交易中心</w:t>
      </w:r>
      <w:r>
        <w:rPr>
          <w:rFonts w:hint="eastAsia" w:ascii="Times New Roman" w:hAnsi="Times New Roman" w:eastAsia="仿宋" w:cs="Times New Roman"/>
          <w:color w:val="auto"/>
          <w:lang w:val="en-US" w:eastAsia="zh-CN"/>
        </w:rPr>
        <w:t>经营区内所涉</w:t>
      </w:r>
      <w:r>
        <w:rPr>
          <w:rFonts w:hint="default" w:ascii="Times New Roman" w:hAnsi="Times New Roman" w:eastAsia="仿宋" w:cs="Times New Roman"/>
          <w:color w:val="auto"/>
          <w:lang w:val="en-US" w:eastAsia="zh-CN"/>
        </w:rPr>
        <w:t>省级电力交易中心</w:t>
      </w:r>
      <w:r>
        <w:rPr>
          <w:rFonts w:hint="eastAsia" w:ascii="Times New Roman" w:hAnsi="Times New Roman" w:eastAsia="仿宋" w:cs="Times New Roman"/>
          <w:color w:val="auto"/>
          <w:lang w:val="en-US" w:eastAsia="zh-CN"/>
        </w:rPr>
        <w:t>依托电力交易平台</w:t>
      </w:r>
      <w:r>
        <w:rPr>
          <w:rFonts w:hint="default" w:ascii="Times New Roman" w:hAnsi="Times New Roman" w:eastAsia="仿宋" w:cs="Times New Roman"/>
          <w:color w:val="auto"/>
          <w:lang w:val="en-US" w:eastAsia="zh-CN"/>
        </w:rPr>
        <w:t>，</w:t>
      </w:r>
      <w:r>
        <w:rPr>
          <w:rFonts w:hint="eastAsia" w:ascii="Times New Roman" w:hAnsi="Times New Roman" w:eastAsia="仿宋" w:cs="Times New Roman"/>
          <w:color w:val="auto"/>
          <w:lang w:val="en-US" w:eastAsia="zh-CN"/>
        </w:rPr>
        <w:t>按照统一的</w:t>
      </w:r>
      <w:r>
        <w:rPr>
          <w:rFonts w:hint="default" w:ascii="Times New Roman" w:hAnsi="Times New Roman" w:eastAsia="仿宋" w:cs="Times New Roman"/>
          <w:color w:val="auto"/>
          <w:lang w:val="en-US" w:eastAsia="zh-CN"/>
        </w:rPr>
        <w:t>数据标准和接口规范</w:t>
      </w:r>
      <w:r>
        <w:rPr>
          <w:rFonts w:hint="eastAsia" w:ascii="Times New Roman" w:hAnsi="Times New Roman" w:eastAsia="仿宋" w:cs="Times New Roman"/>
          <w:color w:val="auto"/>
          <w:lang w:val="en-US" w:eastAsia="zh-CN"/>
        </w:rPr>
        <w:t>，归集本区域内经营主体的省内电力市场交易信息、跨省跨区跨境电力市场交易信息等信用信息，并</w:t>
      </w:r>
      <w:r>
        <w:rPr>
          <w:rFonts w:hint="default" w:ascii="Times New Roman" w:hAnsi="Times New Roman" w:eastAsia="仿宋" w:cs="Times New Roman"/>
          <w:color w:val="auto"/>
          <w:lang w:val="en-US" w:eastAsia="zh-CN"/>
        </w:rPr>
        <w:t>与北京、广州电力交易中心</w:t>
      </w:r>
      <w:r>
        <w:rPr>
          <w:rFonts w:hint="eastAsia" w:ascii="Times New Roman" w:hAnsi="Times New Roman" w:eastAsia="仿宋" w:cs="Times New Roman"/>
          <w:color w:val="auto"/>
          <w:lang w:val="en-US" w:eastAsia="zh-CN"/>
        </w:rPr>
        <w:t>的</w:t>
      </w:r>
      <w:r>
        <w:rPr>
          <w:rFonts w:hint="default" w:ascii="Times New Roman" w:hAnsi="Times New Roman" w:eastAsia="仿宋" w:cs="Times New Roman"/>
          <w:color w:val="auto"/>
          <w:lang w:val="en-US" w:eastAsia="zh-CN"/>
        </w:rPr>
        <w:t>电力</w:t>
      </w:r>
      <w:r>
        <w:rPr>
          <w:rFonts w:hint="eastAsia" w:ascii="Times New Roman" w:hAnsi="Times New Roman" w:eastAsia="仿宋" w:cs="Times New Roman"/>
          <w:color w:val="auto"/>
          <w:lang w:val="en-US" w:eastAsia="zh-CN"/>
        </w:rPr>
        <w:t>交易平台中相关信用数据保持共享</w:t>
      </w:r>
      <w:r>
        <w:rPr>
          <w:rFonts w:hint="default" w:ascii="Times New Roman" w:hAnsi="Times New Roman" w:eastAsia="仿宋" w:cs="Times New Roman"/>
          <w:color w:val="auto"/>
          <w:lang w:val="en-US" w:eastAsia="zh-CN"/>
        </w:rPr>
        <w:t>。</w:t>
      </w:r>
    </w:p>
    <w:p w14:paraId="1FB69BB2">
      <w:pPr>
        <w:keepNext w:val="0"/>
        <w:keepLines w:val="0"/>
        <w:pageBreakBefore w:val="0"/>
        <w:widowControl w:val="0"/>
        <w:kinsoku/>
        <w:wordWrap/>
        <w:overflowPunct w:val="0"/>
        <w:topLinePunct w:val="0"/>
        <w:autoSpaceDE/>
        <w:autoSpaceDN/>
        <w:bidi w:val="0"/>
        <w:adjustRightInd w:val="0"/>
        <w:snapToGrid w:val="0"/>
        <w:spacing w:before="0" w:beforeLines="100" w:after="0" w:afterLines="100" w:line="560" w:lineRule="exact"/>
        <w:ind w:left="0"/>
        <w:jc w:val="center"/>
        <w:textAlignment w:val="baseline"/>
        <w:outlineLvl w:val="0"/>
        <w:rPr>
          <w:rFonts w:ascii="黑体" w:hAnsi="黑体" w:eastAsia="黑体" w:cs="黑体"/>
          <w:spacing w:val="3"/>
          <w:sz w:val="32"/>
          <w:szCs w:val="32"/>
        </w:rPr>
      </w:pPr>
      <w:r>
        <w:rPr>
          <w:rFonts w:ascii="黑体" w:hAnsi="黑体" w:eastAsia="黑体" w:cs="黑体"/>
          <w:spacing w:val="3"/>
          <w:sz w:val="32"/>
          <w:szCs w:val="32"/>
        </w:rPr>
        <w:t>第六章</w:t>
      </w:r>
      <w:r>
        <w:rPr>
          <w:rFonts w:hint="default" w:ascii="黑体" w:hAnsi="黑体" w:eastAsia="黑体" w:cs="黑体"/>
          <w:spacing w:val="3"/>
          <w:sz w:val="32"/>
          <w:szCs w:val="32"/>
          <w:lang w:val="en-US" w:eastAsia="zh-CN"/>
        </w:rPr>
        <w:t xml:space="preserve">  </w:t>
      </w:r>
      <w:r>
        <w:rPr>
          <w:rFonts w:ascii="黑体" w:hAnsi="黑体" w:eastAsia="黑体" w:cs="黑体"/>
          <w:spacing w:val="3"/>
          <w:sz w:val="32"/>
          <w:szCs w:val="32"/>
        </w:rPr>
        <w:t>监督管理</w:t>
      </w:r>
    </w:p>
    <w:p w14:paraId="1BA44712">
      <w:pPr>
        <w:pStyle w:val="4"/>
        <w:keepNext w:val="0"/>
        <w:keepLines w:val="0"/>
        <w:pageBreakBefore w:val="0"/>
        <w:widowControl w:val="0"/>
        <w:kinsoku/>
        <w:wordWrap/>
        <w:overflowPunct w:val="0"/>
        <w:topLinePunct w:val="0"/>
        <w:autoSpaceDE/>
        <w:autoSpaceDN/>
        <w:bidi w:val="0"/>
        <w:adjustRightInd w:val="0"/>
        <w:snapToGrid w:val="0"/>
        <w:spacing w:line="560" w:lineRule="exact"/>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rPr>
        <w:t>第</w:t>
      </w:r>
      <w:r>
        <w:rPr>
          <w:rFonts w:hint="default" w:ascii="黑体" w:hAnsi="黑体" w:eastAsia="黑体" w:cs="黑体"/>
          <w:color w:val="auto"/>
          <w:lang w:eastAsia="zh-CN"/>
        </w:rPr>
        <w:t>二</w:t>
      </w:r>
      <w:r>
        <w:rPr>
          <w:rFonts w:hint="default" w:ascii="黑体" w:hAnsi="黑体" w:eastAsia="黑体" w:cs="黑体"/>
          <w:color w:val="auto"/>
        </w:rPr>
        <w:t>十</w:t>
      </w:r>
      <w:r>
        <w:rPr>
          <w:rFonts w:hint="eastAsia" w:ascii="黑体" w:hAnsi="黑体" w:eastAsia="黑体" w:cs="黑体"/>
          <w:color w:val="auto"/>
          <w:lang w:eastAsia="zh-CN"/>
        </w:rPr>
        <w:t>一</w:t>
      </w:r>
      <w:r>
        <w:rPr>
          <w:rFonts w:hint="default" w:ascii="黑体" w:hAnsi="黑体" w:eastAsia="黑体" w:cs="黑体"/>
          <w:color w:val="auto"/>
        </w:rPr>
        <w:t>条</w:t>
      </w:r>
      <w:r>
        <w:rPr>
          <w:rFonts w:hint="eastAsia" w:ascii="Times New Roman" w:hAnsi="Times New Roman" w:eastAsia="仿宋" w:cs="Times New Roman"/>
          <w:color w:val="auto"/>
          <w:lang w:val="en-US" w:eastAsia="zh-CN"/>
        </w:rPr>
        <w:t xml:space="preserve">  省级能源主管部门及</w:t>
      </w:r>
      <w:r>
        <w:rPr>
          <w:rFonts w:hint="default" w:ascii="Times New Roman" w:hAnsi="Times New Roman" w:eastAsia="仿宋" w:cs="Times New Roman"/>
          <w:color w:val="auto"/>
          <w:lang w:val="en-US" w:eastAsia="zh-CN"/>
        </w:rPr>
        <w:t>相关部门</w:t>
      </w:r>
      <w:r>
        <w:rPr>
          <w:rFonts w:hint="eastAsia" w:ascii="Times New Roman" w:hAnsi="Times New Roman" w:eastAsia="仿宋" w:cs="Times New Roman"/>
          <w:color w:val="auto"/>
          <w:lang w:val="en-US" w:eastAsia="zh-CN"/>
        </w:rPr>
        <w:t>、国家能源局派出机构</w:t>
      </w:r>
      <w:r>
        <w:rPr>
          <w:rFonts w:hint="default" w:ascii="Times New Roman" w:hAnsi="Times New Roman" w:eastAsia="仿宋" w:cs="Times New Roman"/>
          <w:color w:val="auto"/>
          <w:lang w:val="en-US" w:eastAsia="zh-CN"/>
        </w:rPr>
        <w:t>应按职责</w:t>
      </w:r>
      <w:r>
        <w:rPr>
          <w:rFonts w:hint="eastAsia" w:ascii="Times New Roman" w:hAnsi="Times New Roman" w:eastAsia="仿宋" w:cs="Times New Roman"/>
          <w:color w:val="auto"/>
          <w:lang w:val="en-US" w:eastAsia="zh-CN"/>
        </w:rPr>
        <w:t>对</w:t>
      </w:r>
      <w:r>
        <w:rPr>
          <w:rFonts w:hint="default" w:ascii="Times New Roman" w:hAnsi="Times New Roman" w:eastAsia="仿宋" w:cs="Times New Roman"/>
          <w:color w:val="auto"/>
          <w:lang w:val="en-US" w:eastAsia="zh-CN"/>
        </w:rPr>
        <w:t>电力市场信用评价</w:t>
      </w:r>
      <w:r>
        <w:rPr>
          <w:rFonts w:hint="eastAsia" w:ascii="Times New Roman" w:hAnsi="Times New Roman" w:eastAsia="仿宋" w:cs="Times New Roman"/>
          <w:color w:val="auto"/>
          <w:lang w:val="en-US" w:eastAsia="zh-CN"/>
        </w:rPr>
        <w:t>及应用</w:t>
      </w:r>
      <w:r>
        <w:rPr>
          <w:rFonts w:hint="default" w:ascii="Times New Roman" w:hAnsi="Times New Roman" w:eastAsia="仿宋" w:cs="Times New Roman"/>
          <w:color w:val="auto"/>
          <w:lang w:val="en-US" w:eastAsia="zh-CN"/>
        </w:rPr>
        <w:t>工作进行</w:t>
      </w:r>
      <w:r>
        <w:rPr>
          <w:rFonts w:hint="eastAsia" w:ascii="Times New Roman" w:hAnsi="Times New Roman" w:eastAsia="仿宋" w:cs="Times New Roman"/>
          <w:color w:val="auto"/>
          <w:lang w:val="en-US" w:eastAsia="zh-CN"/>
        </w:rPr>
        <w:t>全过程</w:t>
      </w:r>
      <w:r>
        <w:rPr>
          <w:rFonts w:hint="default" w:ascii="Times New Roman" w:hAnsi="Times New Roman" w:eastAsia="仿宋" w:cs="Times New Roman"/>
          <w:color w:val="auto"/>
          <w:lang w:val="en-US" w:eastAsia="zh-CN"/>
        </w:rPr>
        <w:t>监督，确保依法合规、</w:t>
      </w:r>
      <w:r>
        <w:rPr>
          <w:rFonts w:hint="eastAsia" w:ascii="Times New Roman" w:hAnsi="Times New Roman" w:eastAsia="仿宋" w:cs="Times New Roman"/>
          <w:color w:val="auto"/>
          <w:lang w:val="en-US" w:eastAsia="zh-CN"/>
        </w:rPr>
        <w:t>客观公正</w:t>
      </w:r>
      <w:r>
        <w:rPr>
          <w:rFonts w:hint="default" w:ascii="Times New Roman" w:hAnsi="Times New Roman" w:eastAsia="仿宋" w:cs="Times New Roman"/>
          <w:color w:val="auto"/>
          <w:lang w:val="en-US" w:eastAsia="zh-CN"/>
        </w:rPr>
        <w:t xml:space="preserve">。  </w:t>
      </w:r>
    </w:p>
    <w:p w14:paraId="06785E44">
      <w:pPr>
        <w:pStyle w:val="4"/>
        <w:keepNext w:val="0"/>
        <w:keepLines w:val="0"/>
        <w:pageBreakBefore w:val="0"/>
        <w:widowControl w:val="0"/>
        <w:kinsoku/>
        <w:wordWrap/>
        <w:overflowPunct w:val="0"/>
        <w:topLinePunct w:val="0"/>
        <w:autoSpaceDE/>
        <w:autoSpaceDN/>
        <w:bidi w:val="0"/>
        <w:adjustRightInd w:val="0"/>
        <w:snapToGrid w:val="0"/>
        <w:spacing w:line="560" w:lineRule="exact"/>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第二十</w:t>
      </w:r>
      <w:r>
        <w:rPr>
          <w:rFonts w:hint="eastAsia" w:ascii="黑体" w:hAnsi="黑体" w:eastAsia="黑体" w:cs="黑体"/>
          <w:color w:val="auto"/>
          <w:lang w:val="en-US" w:eastAsia="zh-CN"/>
        </w:rPr>
        <w:t>二</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相关部门（单位）应严格</w:t>
      </w:r>
      <w:r>
        <w:rPr>
          <w:rFonts w:hint="eastAsia" w:ascii="Times New Roman" w:hAnsi="Times New Roman" w:eastAsia="仿宋" w:cs="Times New Roman"/>
          <w:color w:val="auto"/>
          <w:lang w:val="en-US" w:eastAsia="zh-CN"/>
        </w:rPr>
        <w:t>落实</w:t>
      </w:r>
      <w:r>
        <w:rPr>
          <w:rFonts w:hint="default" w:ascii="Times New Roman" w:hAnsi="Times New Roman" w:eastAsia="仿宋" w:cs="Times New Roman"/>
          <w:color w:val="auto"/>
          <w:lang w:val="en-US" w:eastAsia="zh-CN"/>
        </w:rPr>
        <w:t>信息安全保密</w:t>
      </w:r>
      <w:r>
        <w:rPr>
          <w:rFonts w:hint="eastAsia" w:ascii="Times New Roman" w:hAnsi="Times New Roman" w:eastAsia="仿宋" w:cs="Times New Roman"/>
          <w:color w:val="auto"/>
          <w:lang w:val="en-US" w:eastAsia="zh-CN"/>
        </w:rPr>
        <w:t>规定</w:t>
      </w:r>
      <w:r>
        <w:rPr>
          <w:rFonts w:hint="default" w:ascii="Times New Roman" w:hAnsi="Times New Roman" w:eastAsia="仿宋" w:cs="Times New Roman"/>
          <w:color w:val="auto"/>
          <w:lang w:val="en-US" w:eastAsia="zh-CN"/>
        </w:rPr>
        <w:t>，严格履行非公开信用信息保密义务，严禁以任何形式泄露、篡改或违规使用信用信息，确保信用信息安全。</w:t>
      </w:r>
    </w:p>
    <w:p w14:paraId="30257E88">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0"/>
        <w:textAlignment w:val="baseline"/>
        <w:rPr>
          <w:rFonts w:hint="default" w:ascii="Times New Roman" w:hAnsi="Times New Roman" w:eastAsia="仿宋" w:cs="Times New Roman"/>
          <w:color w:val="auto"/>
          <w:lang w:val="en-US" w:eastAsia="zh-CN"/>
        </w:rPr>
      </w:pPr>
      <w:r>
        <w:rPr>
          <w:rFonts w:hint="default" w:ascii="黑体" w:hAnsi="黑体" w:eastAsia="黑体" w:cs="黑体"/>
          <w:color w:val="auto"/>
          <w:lang w:val="en-US" w:eastAsia="zh-CN"/>
        </w:rPr>
        <w:t>第二十</w:t>
      </w:r>
      <w:r>
        <w:rPr>
          <w:rFonts w:hint="eastAsia" w:ascii="黑体" w:hAnsi="黑体" w:eastAsia="黑体" w:cs="黑体"/>
          <w:color w:val="auto"/>
          <w:lang w:val="en-US" w:eastAsia="zh-CN"/>
        </w:rPr>
        <w:t>三</w:t>
      </w:r>
      <w:r>
        <w:rPr>
          <w:rFonts w:hint="default" w:ascii="黑体" w:hAnsi="黑体" w:eastAsia="黑体" w:cs="黑体"/>
          <w:color w:val="auto"/>
          <w:lang w:val="en-US" w:eastAsia="zh-CN"/>
        </w:rPr>
        <w:t>条</w:t>
      </w:r>
      <w:r>
        <w:rPr>
          <w:rFonts w:hint="eastAsia" w:ascii="Times New Roman" w:hAnsi="Times New Roman" w:eastAsia="仿宋" w:cs="Times New Roman"/>
          <w:color w:val="auto"/>
          <w:lang w:val="en-US" w:eastAsia="zh-CN"/>
        </w:rPr>
        <w:t xml:space="preserve">  </w:t>
      </w:r>
      <w:r>
        <w:rPr>
          <w:rFonts w:hint="default" w:ascii="Times New Roman" w:hAnsi="Times New Roman" w:eastAsia="仿宋" w:cs="Times New Roman"/>
          <w:color w:val="auto"/>
          <w:lang w:val="en-US" w:eastAsia="zh-CN"/>
        </w:rPr>
        <w:t>对</w:t>
      </w:r>
      <w:r>
        <w:rPr>
          <w:rFonts w:hint="eastAsia" w:ascii="Times New Roman" w:hAnsi="Times New Roman" w:eastAsia="仿宋" w:cs="Times New Roman"/>
          <w:color w:val="auto"/>
          <w:lang w:val="en-US" w:eastAsia="zh-CN"/>
        </w:rPr>
        <w:t>未</w:t>
      </w:r>
      <w:r>
        <w:rPr>
          <w:rFonts w:hint="default" w:ascii="Times New Roman" w:hAnsi="Times New Roman" w:eastAsia="仿宋" w:cs="Times New Roman"/>
          <w:color w:val="auto"/>
          <w:lang w:val="en-US" w:eastAsia="zh-CN"/>
        </w:rPr>
        <w:t>按</w:t>
      </w:r>
      <w:r>
        <w:rPr>
          <w:rFonts w:hint="eastAsia" w:ascii="Times New Roman" w:hAnsi="Times New Roman" w:eastAsia="仿宋" w:cs="Times New Roman"/>
          <w:color w:val="auto"/>
          <w:lang w:val="en-US" w:eastAsia="zh-CN"/>
        </w:rPr>
        <w:t>规定</w:t>
      </w:r>
      <w:r>
        <w:rPr>
          <w:rFonts w:hint="default" w:ascii="Times New Roman" w:hAnsi="Times New Roman" w:eastAsia="仿宋" w:cs="Times New Roman"/>
          <w:color w:val="auto"/>
          <w:lang w:val="en-US" w:eastAsia="zh-CN"/>
        </w:rPr>
        <w:t>开展信用评价，非法泄露、窃取、出售、篡改经营主体信息，</w:t>
      </w:r>
      <w:r>
        <w:rPr>
          <w:rFonts w:hint="eastAsia" w:ascii="Times New Roman" w:hAnsi="Times New Roman" w:eastAsia="仿宋" w:cs="Times New Roman"/>
          <w:color w:val="auto"/>
          <w:lang w:val="en-US" w:eastAsia="zh-CN"/>
        </w:rPr>
        <w:t>不按时提供或提供虚假参评信息，</w:t>
      </w:r>
      <w:r>
        <w:rPr>
          <w:rFonts w:hint="default" w:ascii="Times New Roman" w:hAnsi="Times New Roman" w:eastAsia="仿宋" w:cs="Times New Roman"/>
          <w:color w:val="auto"/>
          <w:lang w:val="en-US" w:eastAsia="zh-CN"/>
        </w:rPr>
        <w:t>擅自篡改评价结果，违规收取费用等行为，依法依规追究相关单位和人员责任，</w:t>
      </w:r>
      <w:r>
        <w:rPr>
          <w:rFonts w:hint="eastAsia" w:ascii="Times New Roman" w:hAnsi="Times New Roman" w:eastAsia="仿宋" w:cs="Times New Roman"/>
          <w:color w:val="auto"/>
          <w:lang w:val="en-US" w:eastAsia="zh-CN"/>
        </w:rPr>
        <w:t>并</w:t>
      </w:r>
      <w:r>
        <w:rPr>
          <w:rFonts w:hint="default" w:ascii="Times New Roman" w:hAnsi="Times New Roman" w:eastAsia="仿宋" w:cs="Times New Roman"/>
          <w:color w:val="auto"/>
          <w:lang w:val="en-US" w:eastAsia="zh-CN"/>
        </w:rPr>
        <w:t>纳入信用记录。</w:t>
      </w:r>
    </w:p>
    <w:p w14:paraId="754B4A2E">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0"/>
        <w:textAlignment w:val="baseline"/>
        <w:rPr>
          <w:rFonts w:hint="default" w:ascii="Times New Roman" w:hAnsi="Times New Roman" w:eastAsia="仿宋" w:cs="Times New Roman"/>
          <w:color w:val="auto"/>
          <w:lang w:val="en-US" w:eastAsia="zh-CN"/>
        </w:rPr>
      </w:pPr>
    </w:p>
    <w:p w14:paraId="32F69355">
      <w:pPr>
        <w:keepNext w:val="0"/>
        <w:keepLines w:val="0"/>
        <w:pageBreakBefore w:val="0"/>
        <w:widowControl w:val="0"/>
        <w:kinsoku/>
        <w:wordWrap/>
        <w:overflowPunct w:val="0"/>
        <w:topLinePunct w:val="0"/>
        <w:autoSpaceDE/>
        <w:autoSpaceDN/>
        <w:bidi w:val="0"/>
        <w:adjustRightInd w:val="0"/>
        <w:snapToGrid w:val="0"/>
        <w:spacing w:before="0" w:beforeLines="100" w:after="0" w:afterLines="100" w:line="560" w:lineRule="exact"/>
        <w:ind w:left="0"/>
        <w:jc w:val="center"/>
        <w:textAlignment w:val="baseline"/>
        <w:outlineLvl w:val="0"/>
        <w:rPr>
          <w:rFonts w:ascii="黑体" w:hAnsi="黑体" w:eastAsia="黑体" w:cs="黑体"/>
          <w:spacing w:val="3"/>
          <w:sz w:val="32"/>
          <w:szCs w:val="32"/>
        </w:rPr>
      </w:pPr>
      <w:r>
        <w:rPr>
          <w:rFonts w:ascii="黑体" w:hAnsi="黑体" w:eastAsia="黑体" w:cs="黑体"/>
          <w:spacing w:val="3"/>
          <w:sz w:val="32"/>
          <w:szCs w:val="32"/>
        </w:rPr>
        <w:t>第七章</w:t>
      </w:r>
      <w:r>
        <w:rPr>
          <w:rFonts w:hint="default" w:ascii="黑体" w:hAnsi="黑体" w:eastAsia="黑体" w:cs="黑体"/>
          <w:spacing w:val="3"/>
          <w:sz w:val="32"/>
          <w:szCs w:val="32"/>
          <w:lang w:val="en-US" w:eastAsia="zh-CN"/>
        </w:rPr>
        <w:t xml:space="preserve">  </w:t>
      </w:r>
      <w:r>
        <w:rPr>
          <w:rFonts w:ascii="黑体" w:hAnsi="黑体" w:eastAsia="黑体" w:cs="黑体"/>
          <w:spacing w:val="3"/>
          <w:sz w:val="32"/>
          <w:szCs w:val="32"/>
        </w:rPr>
        <w:t>附</w:t>
      </w:r>
      <w:r>
        <w:rPr>
          <w:rFonts w:hint="default" w:ascii="黑体" w:hAnsi="黑体" w:eastAsia="黑体" w:cs="黑体"/>
          <w:spacing w:val="3"/>
          <w:sz w:val="32"/>
          <w:szCs w:val="32"/>
          <w:lang w:val="en-US" w:eastAsia="zh-CN"/>
        </w:rPr>
        <w:t xml:space="preserve"> </w:t>
      </w:r>
      <w:r>
        <w:rPr>
          <w:rFonts w:ascii="黑体" w:hAnsi="黑体" w:eastAsia="黑体" w:cs="黑体"/>
          <w:spacing w:val="3"/>
          <w:sz w:val="32"/>
          <w:szCs w:val="32"/>
        </w:rPr>
        <w:t>则</w:t>
      </w:r>
    </w:p>
    <w:p w14:paraId="7B0706EA">
      <w:pPr>
        <w:pStyle w:val="4"/>
        <w:keepNext w:val="0"/>
        <w:keepLines w:val="0"/>
        <w:pageBreakBefore w:val="0"/>
        <w:widowControl w:val="0"/>
        <w:kinsoku/>
        <w:wordWrap/>
        <w:overflowPunct w:val="0"/>
        <w:topLinePunct w:val="0"/>
        <w:autoSpaceDE/>
        <w:autoSpaceDN/>
        <w:bidi w:val="0"/>
        <w:adjustRightInd w:val="0"/>
        <w:snapToGrid w:val="0"/>
        <w:spacing w:line="560" w:lineRule="exact"/>
        <w:ind w:firstLine="640"/>
        <w:textAlignment w:val="baseline"/>
        <w:rPr>
          <w:rFonts w:hint="default" w:ascii="Times New Roman" w:hAnsi="Times New Roman" w:eastAsia="仿宋" w:cs="Times New Roman"/>
          <w:color w:val="auto"/>
          <w:lang w:val="en-US" w:eastAsia="zh-CN"/>
        </w:rPr>
      </w:pPr>
      <w:r>
        <w:rPr>
          <w:rFonts w:hint="eastAsia" w:ascii="黑体" w:hAnsi="黑体" w:eastAsia="黑体" w:cs="黑体"/>
          <w:color w:val="auto"/>
        </w:rPr>
        <w:t>第</w:t>
      </w:r>
      <w:r>
        <w:rPr>
          <w:rFonts w:hint="eastAsia" w:ascii="黑体" w:hAnsi="黑体" w:eastAsia="黑体" w:cs="黑体"/>
          <w:color w:val="auto"/>
          <w:lang w:val="en-US" w:eastAsia="zh-CN"/>
        </w:rPr>
        <w:t>二十四</w:t>
      </w:r>
      <w:r>
        <w:rPr>
          <w:rFonts w:hint="eastAsia" w:ascii="黑体" w:hAnsi="黑体" w:eastAsia="黑体" w:cs="黑体"/>
          <w:color w:val="auto"/>
        </w:rPr>
        <w:t>条</w:t>
      </w:r>
      <w:r>
        <w:rPr>
          <w:rFonts w:hint="default" w:ascii="Times New Roman" w:hAnsi="Times New Roman" w:eastAsia="仿宋" w:cs="Times New Roman"/>
          <w:color w:val="auto"/>
          <w:lang w:val="en-US" w:eastAsia="zh-CN"/>
        </w:rPr>
        <w:t xml:space="preserve"> 本指引自2026年X月X日起施行，有效期</w:t>
      </w:r>
      <w:r>
        <w:rPr>
          <w:rFonts w:hint="eastAsia" w:ascii="Times New Roman" w:hAnsi="Times New Roman" w:eastAsia="仿宋" w:cs="Times New Roman"/>
          <w:color w:val="auto"/>
          <w:lang w:val="en-US" w:eastAsia="zh-CN"/>
        </w:rPr>
        <w:t>5</w:t>
      </w:r>
      <w:r>
        <w:rPr>
          <w:rFonts w:hint="default" w:ascii="Times New Roman" w:hAnsi="Times New Roman" w:eastAsia="仿宋" w:cs="Times New Roman"/>
          <w:color w:val="auto"/>
          <w:lang w:val="en-US" w:eastAsia="zh-CN"/>
        </w:rPr>
        <w:t>年。由国家能源局负责解释。</w:t>
      </w:r>
    </w:p>
    <w:sectPr>
      <w:footerReference r:id="rId5" w:type="default"/>
      <w:pgSz w:w="11906" w:h="16839"/>
      <w:pgMar w:top="2098" w:right="1474" w:bottom="1984" w:left="1587" w:header="1090" w:footer="992" w:gutter="0"/>
      <w:pgNumType w:fmt="decimal"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655E2B-B89B-433E-A794-80D73A076A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C25231B8-EFF1-4ACF-9C25-CB1F36B85D6C}"/>
  </w:font>
  <w:font w:name="方正小标宋_GBK">
    <w:panose1 w:val="03000509000000000000"/>
    <w:charset w:val="86"/>
    <w:family w:val="auto"/>
    <w:pitch w:val="default"/>
    <w:sig w:usb0="00000001" w:usb1="080E0000" w:usb2="00000000" w:usb3="00000000" w:csb0="00040000" w:csb1="00000000"/>
    <w:embedRegular r:id="rId3" w:fontKey="{CDDE3FFB-B32E-4F15-8C21-88C09F0121A9}"/>
  </w:font>
  <w:font w:name="仿宋_GB2312">
    <w:panose1 w:val="02010609030101010101"/>
    <w:charset w:val="86"/>
    <w:family w:val="auto"/>
    <w:pitch w:val="default"/>
    <w:sig w:usb0="00000001" w:usb1="080E0000" w:usb2="00000000" w:usb3="00000000" w:csb0="00040000" w:csb1="00000000"/>
    <w:embedRegular r:id="rId4" w:fontKey="{E5D8F641-ADB7-4744-8C96-55F090EE1498}"/>
  </w:font>
  <w:font w:name="楷体">
    <w:panose1 w:val="02010609060101010101"/>
    <w:charset w:val="86"/>
    <w:family w:val="auto"/>
    <w:pitch w:val="default"/>
    <w:sig w:usb0="800002BF" w:usb1="38CF7CFA" w:usb2="00000016" w:usb3="00000000" w:csb0="00040001" w:csb1="00000000"/>
    <w:embedRegular r:id="rId5" w:fontKey="{765E659A-388F-4F6D-85A8-FEFB48AF2A9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1B4F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F1C7A">
                          <w:pPr>
                            <w:pStyle w:val="5"/>
                            <w:jc w:val="both"/>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宋体" w:hAnsi="宋体" w:eastAsia="宋体" w:cs="宋体"/>
                              <w:sz w:val="28"/>
                              <w:szCs w:val="28"/>
                              <w:lang w:val="en-US"/>
                            </w:rPr>
                            <w:fldChar w:fldCharType="begin"/>
                          </w:r>
                          <w:r>
                            <w:rPr>
                              <w:rFonts w:hint="default" w:ascii="宋体" w:hAnsi="宋体" w:eastAsia="宋体" w:cs="宋体"/>
                              <w:sz w:val="28"/>
                              <w:szCs w:val="28"/>
                              <w:lang w:val="en-US"/>
                            </w:rPr>
                            <w:instrText xml:space="preserve"> PAGE  \* MERGEFORMAT </w:instrText>
                          </w:r>
                          <w:r>
                            <w:rPr>
                              <w:rFonts w:hint="default" w:ascii="宋体" w:hAnsi="宋体" w:eastAsia="宋体" w:cs="宋体"/>
                              <w:sz w:val="28"/>
                              <w:szCs w:val="28"/>
                              <w:lang w:val="en-US"/>
                            </w:rPr>
                            <w:fldChar w:fldCharType="separate"/>
                          </w:r>
                          <w:r>
                            <w:rPr>
                              <w:rFonts w:hint="default" w:ascii="宋体" w:hAnsi="宋体" w:eastAsia="宋体" w:cs="宋体"/>
                              <w:sz w:val="28"/>
                              <w:szCs w:val="28"/>
                              <w:lang w:val="en-US"/>
                            </w:rPr>
                            <w:t>1</w:t>
                          </w:r>
                          <w:r>
                            <w:rPr>
                              <w:rFonts w:hint="default" w:ascii="宋体" w:hAnsi="宋体" w:eastAsia="宋体" w:cs="宋体"/>
                              <w:sz w:val="28"/>
                              <w:szCs w:val="28"/>
                              <w:lang w:val="en-US"/>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DF1C7A">
                    <w:pPr>
                      <w:pStyle w:val="5"/>
                      <w:jc w:val="both"/>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宋体" w:hAnsi="宋体" w:eastAsia="宋体" w:cs="宋体"/>
                        <w:sz w:val="28"/>
                        <w:szCs w:val="28"/>
                        <w:lang w:val="en-US"/>
                      </w:rPr>
                      <w:fldChar w:fldCharType="begin"/>
                    </w:r>
                    <w:r>
                      <w:rPr>
                        <w:rFonts w:hint="default" w:ascii="宋体" w:hAnsi="宋体" w:eastAsia="宋体" w:cs="宋体"/>
                        <w:sz w:val="28"/>
                        <w:szCs w:val="28"/>
                        <w:lang w:val="en-US"/>
                      </w:rPr>
                      <w:instrText xml:space="preserve"> PAGE  \* MERGEFORMAT </w:instrText>
                    </w:r>
                    <w:r>
                      <w:rPr>
                        <w:rFonts w:hint="default" w:ascii="宋体" w:hAnsi="宋体" w:eastAsia="宋体" w:cs="宋体"/>
                        <w:sz w:val="28"/>
                        <w:szCs w:val="28"/>
                        <w:lang w:val="en-US"/>
                      </w:rPr>
                      <w:fldChar w:fldCharType="separate"/>
                    </w:r>
                    <w:r>
                      <w:rPr>
                        <w:rFonts w:hint="default" w:ascii="宋体" w:hAnsi="宋体" w:eastAsia="宋体" w:cs="宋体"/>
                        <w:sz w:val="28"/>
                        <w:szCs w:val="28"/>
                        <w:lang w:val="en-US"/>
                      </w:rPr>
                      <w:t>1</w:t>
                    </w:r>
                    <w:r>
                      <w:rPr>
                        <w:rFonts w:hint="default" w:ascii="宋体" w:hAnsi="宋体" w:eastAsia="宋体" w:cs="宋体"/>
                        <w:sz w:val="28"/>
                        <w:szCs w:val="28"/>
                        <w:lang w:val="en-US"/>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052E60"/>
    <w:rsid w:val="0114311B"/>
    <w:rsid w:val="01AC7479"/>
    <w:rsid w:val="02224212"/>
    <w:rsid w:val="028B1C09"/>
    <w:rsid w:val="02B25A83"/>
    <w:rsid w:val="02C5485F"/>
    <w:rsid w:val="02F12E11"/>
    <w:rsid w:val="03892F81"/>
    <w:rsid w:val="03D12BCA"/>
    <w:rsid w:val="03F321FD"/>
    <w:rsid w:val="04127561"/>
    <w:rsid w:val="04442A59"/>
    <w:rsid w:val="04472A47"/>
    <w:rsid w:val="04C45F40"/>
    <w:rsid w:val="056060A2"/>
    <w:rsid w:val="059A180F"/>
    <w:rsid w:val="05DD6BAF"/>
    <w:rsid w:val="06621D4F"/>
    <w:rsid w:val="068837B9"/>
    <w:rsid w:val="06980949"/>
    <w:rsid w:val="06DC4423"/>
    <w:rsid w:val="07441979"/>
    <w:rsid w:val="07657BBB"/>
    <w:rsid w:val="07A63073"/>
    <w:rsid w:val="07D8540F"/>
    <w:rsid w:val="07DE071F"/>
    <w:rsid w:val="09755111"/>
    <w:rsid w:val="0A973C97"/>
    <w:rsid w:val="0AEC68B1"/>
    <w:rsid w:val="0BDA127D"/>
    <w:rsid w:val="0C3628F9"/>
    <w:rsid w:val="0CF55810"/>
    <w:rsid w:val="0D0B5AB0"/>
    <w:rsid w:val="0D344566"/>
    <w:rsid w:val="0D6C6615"/>
    <w:rsid w:val="0DAB6BF6"/>
    <w:rsid w:val="0E802B47"/>
    <w:rsid w:val="0EE712EE"/>
    <w:rsid w:val="0F381079"/>
    <w:rsid w:val="0FBD2E98"/>
    <w:rsid w:val="0FEE3E16"/>
    <w:rsid w:val="110C3B6B"/>
    <w:rsid w:val="11944454"/>
    <w:rsid w:val="119B62F0"/>
    <w:rsid w:val="12375C01"/>
    <w:rsid w:val="123E20D6"/>
    <w:rsid w:val="12E813A5"/>
    <w:rsid w:val="13591227"/>
    <w:rsid w:val="13633F9F"/>
    <w:rsid w:val="13A66872"/>
    <w:rsid w:val="13D9661F"/>
    <w:rsid w:val="13EC43A7"/>
    <w:rsid w:val="13F8101F"/>
    <w:rsid w:val="149A6E63"/>
    <w:rsid w:val="14B41A2D"/>
    <w:rsid w:val="14F56FC5"/>
    <w:rsid w:val="151A2DAA"/>
    <w:rsid w:val="15451DDD"/>
    <w:rsid w:val="172B7F6C"/>
    <w:rsid w:val="17FE2E3D"/>
    <w:rsid w:val="18133ACD"/>
    <w:rsid w:val="18353AB4"/>
    <w:rsid w:val="18B636CA"/>
    <w:rsid w:val="193E0C72"/>
    <w:rsid w:val="196605DA"/>
    <w:rsid w:val="1A341BB3"/>
    <w:rsid w:val="1B3A75C2"/>
    <w:rsid w:val="1B4D3F96"/>
    <w:rsid w:val="1BAE3985"/>
    <w:rsid w:val="1C1A6457"/>
    <w:rsid w:val="1C1F5EE0"/>
    <w:rsid w:val="1C7B1C6E"/>
    <w:rsid w:val="1C8F068A"/>
    <w:rsid w:val="1CD852E5"/>
    <w:rsid w:val="1D274825"/>
    <w:rsid w:val="1D3E15EC"/>
    <w:rsid w:val="1D430810"/>
    <w:rsid w:val="1E3460D2"/>
    <w:rsid w:val="1EDB267F"/>
    <w:rsid w:val="1EF83C4D"/>
    <w:rsid w:val="1F177E76"/>
    <w:rsid w:val="1F507AB1"/>
    <w:rsid w:val="20524511"/>
    <w:rsid w:val="209379D6"/>
    <w:rsid w:val="21F96815"/>
    <w:rsid w:val="235155FC"/>
    <w:rsid w:val="24001A4B"/>
    <w:rsid w:val="2438358F"/>
    <w:rsid w:val="24976248"/>
    <w:rsid w:val="25774BC8"/>
    <w:rsid w:val="25C500CD"/>
    <w:rsid w:val="25FB6AF8"/>
    <w:rsid w:val="26877A00"/>
    <w:rsid w:val="28463E25"/>
    <w:rsid w:val="287613E8"/>
    <w:rsid w:val="29183639"/>
    <w:rsid w:val="294C6E3F"/>
    <w:rsid w:val="29914DDF"/>
    <w:rsid w:val="29D13963"/>
    <w:rsid w:val="2A213BF2"/>
    <w:rsid w:val="2ABD0FAC"/>
    <w:rsid w:val="2AC27802"/>
    <w:rsid w:val="2AC43C86"/>
    <w:rsid w:val="2B221554"/>
    <w:rsid w:val="2B6C5576"/>
    <w:rsid w:val="2B970814"/>
    <w:rsid w:val="2BD07B38"/>
    <w:rsid w:val="2C55725F"/>
    <w:rsid w:val="2CE76F4D"/>
    <w:rsid w:val="2D2C71AC"/>
    <w:rsid w:val="2D5269EE"/>
    <w:rsid w:val="2D672685"/>
    <w:rsid w:val="2E4877D5"/>
    <w:rsid w:val="2E4C5FC1"/>
    <w:rsid w:val="2F3E7229"/>
    <w:rsid w:val="2F417D05"/>
    <w:rsid w:val="2FCF34F1"/>
    <w:rsid w:val="30475B03"/>
    <w:rsid w:val="30FD3EF5"/>
    <w:rsid w:val="31F66F3E"/>
    <w:rsid w:val="323675C8"/>
    <w:rsid w:val="326608C5"/>
    <w:rsid w:val="326F1422"/>
    <w:rsid w:val="33C94F60"/>
    <w:rsid w:val="342942EE"/>
    <w:rsid w:val="352B2EEF"/>
    <w:rsid w:val="366E702E"/>
    <w:rsid w:val="367D1B40"/>
    <w:rsid w:val="36E27034"/>
    <w:rsid w:val="36F86ACD"/>
    <w:rsid w:val="36FC1D16"/>
    <w:rsid w:val="370945C1"/>
    <w:rsid w:val="373858B9"/>
    <w:rsid w:val="37642E6B"/>
    <w:rsid w:val="37875A2A"/>
    <w:rsid w:val="378F142A"/>
    <w:rsid w:val="37B246A1"/>
    <w:rsid w:val="38985331"/>
    <w:rsid w:val="38B90269"/>
    <w:rsid w:val="38C82113"/>
    <w:rsid w:val="3AB345C4"/>
    <w:rsid w:val="3C7E0A3F"/>
    <w:rsid w:val="3D8A3804"/>
    <w:rsid w:val="3E111421"/>
    <w:rsid w:val="3E80091C"/>
    <w:rsid w:val="404D4C9A"/>
    <w:rsid w:val="411E0327"/>
    <w:rsid w:val="42336996"/>
    <w:rsid w:val="42A07EE2"/>
    <w:rsid w:val="43331F97"/>
    <w:rsid w:val="434F77FF"/>
    <w:rsid w:val="438D2582"/>
    <w:rsid w:val="43917640"/>
    <w:rsid w:val="45EE2118"/>
    <w:rsid w:val="45EF3F8C"/>
    <w:rsid w:val="464F2CE8"/>
    <w:rsid w:val="46ED492F"/>
    <w:rsid w:val="46ED7F06"/>
    <w:rsid w:val="471C6BFE"/>
    <w:rsid w:val="49D20C88"/>
    <w:rsid w:val="4A33564C"/>
    <w:rsid w:val="4A640768"/>
    <w:rsid w:val="4BD229CC"/>
    <w:rsid w:val="4BE52395"/>
    <w:rsid w:val="4CA70C83"/>
    <w:rsid w:val="4CFA14B7"/>
    <w:rsid w:val="4D573A43"/>
    <w:rsid w:val="4E52311D"/>
    <w:rsid w:val="4E9133C2"/>
    <w:rsid w:val="4F2C6C47"/>
    <w:rsid w:val="4F97433E"/>
    <w:rsid w:val="4FB1436C"/>
    <w:rsid w:val="4FB31116"/>
    <w:rsid w:val="4FB8337D"/>
    <w:rsid w:val="50D373E2"/>
    <w:rsid w:val="511472D5"/>
    <w:rsid w:val="514C6D4D"/>
    <w:rsid w:val="52224331"/>
    <w:rsid w:val="527728CF"/>
    <w:rsid w:val="52C831AC"/>
    <w:rsid w:val="52FB02A9"/>
    <w:rsid w:val="54667FA9"/>
    <w:rsid w:val="55401D6C"/>
    <w:rsid w:val="56366EF5"/>
    <w:rsid w:val="56601A49"/>
    <w:rsid w:val="56B75D7B"/>
    <w:rsid w:val="56E11C93"/>
    <w:rsid w:val="5799299D"/>
    <w:rsid w:val="58324C73"/>
    <w:rsid w:val="58384463"/>
    <w:rsid w:val="59626810"/>
    <w:rsid w:val="5A0D5549"/>
    <w:rsid w:val="5A555AA2"/>
    <w:rsid w:val="5A6000EC"/>
    <w:rsid w:val="5B843C0C"/>
    <w:rsid w:val="5C8D4A8E"/>
    <w:rsid w:val="5DE01B3B"/>
    <w:rsid w:val="5E0A2849"/>
    <w:rsid w:val="5F313E05"/>
    <w:rsid w:val="5F723FFF"/>
    <w:rsid w:val="5FBC0EF7"/>
    <w:rsid w:val="601E438A"/>
    <w:rsid w:val="602E5D75"/>
    <w:rsid w:val="60844D43"/>
    <w:rsid w:val="60B75ECC"/>
    <w:rsid w:val="60D77D03"/>
    <w:rsid w:val="634265E1"/>
    <w:rsid w:val="64066A7D"/>
    <w:rsid w:val="646D53D2"/>
    <w:rsid w:val="64EC4BAA"/>
    <w:rsid w:val="653B4499"/>
    <w:rsid w:val="655C7259"/>
    <w:rsid w:val="677B39C2"/>
    <w:rsid w:val="683027C1"/>
    <w:rsid w:val="68AE4513"/>
    <w:rsid w:val="691A347C"/>
    <w:rsid w:val="69601EB7"/>
    <w:rsid w:val="6A161253"/>
    <w:rsid w:val="6AC42674"/>
    <w:rsid w:val="6B555575"/>
    <w:rsid w:val="6C2E104D"/>
    <w:rsid w:val="6C4C203A"/>
    <w:rsid w:val="6CFF5361"/>
    <w:rsid w:val="6E2D76C2"/>
    <w:rsid w:val="6E4E47A8"/>
    <w:rsid w:val="6E737F96"/>
    <w:rsid w:val="6F2349A8"/>
    <w:rsid w:val="6F396F66"/>
    <w:rsid w:val="6F4525C4"/>
    <w:rsid w:val="6F670FD3"/>
    <w:rsid w:val="70052E70"/>
    <w:rsid w:val="71C07EAD"/>
    <w:rsid w:val="7273015E"/>
    <w:rsid w:val="72904406"/>
    <w:rsid w:val="72977F10"/>
    <w:rsid w:val="73873F96"/>
    <w:rsid w:val="73D6524F"/>
    <w:rsid w:val="744E1BD1"/>
    <w:rsid w:val="74727416"/>
    <w:rsid w:val="74977480"/>
    <w:rsid w:val="75006517"/>
    <w:rsid w:val="7546367B"/>
    <w:rsid w:val="762D4BFF"/>
    <w:rsid w:val="763E2304"/>
    <w:rsid w:val="76BA1414"/>
    <w:rsid w:val="77A735E1"/>
    <w:rsid w:val="77AE66D0"/>
    <w:rsid w:val="77DB4A20"/>
    <w:rsid w:val="78070C1D"/>
    <w:rsid w:val="78663C24"/>
    <w:rsid w:val="7877750E"/>
    <w:rsid w:val="78875A9F"/>
    <w:rsid w:val="78CB6E8D"/>
    <w:rsid w:val="79E85A76"/>
    <w:rsid w:val="7B426EB7"/>
    <w:rsid w:val="7B9671CE"/>
    <w:rsid w:val="7C88585D"/>
    <w:rsid w:val="7D690EE2"/>
    <w:rsid w:val="7E0468FE"/>
    <w:rsid w:val="7E995DE7"/>
    <w:rsid w:val="7F44174C"/>
    <w:rsid w:val="7FF15AAB"/>
    <w:rsid w:val="7FFA1F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qFormat/>
    <w:uiPriority w:val="0"/>
    <w:pPr>
      <w:snapToGrid w:val="0"/>
      <w:ind w:firstLine="420" w:firstLineChars="200"/>
    </w:pPr>
    <w:rPr>
      <w:rFonts w:ascii="Times New Roman" w:hAnsi="Times New Roman"/>
    </w:rPr>
  </w:style>
  <w:style w:type="paragraph" w:styleId="3">
    <w:name w:val="annotation text"/>
    <w:basedOn w:val="1"/>
    <w:qFormat/>
    <w:uiPriority w:val="0"/>
    <w:pPr>
      <w:jc w:val="left"/>
    </w:pPr>
  </w:style>
  <w:style w:type="paragraph" w:styleId="4">
    <w:name w:val="Body Text"/>
    <w:basedOn w:val="1"/>
    <w:qFormat/>
    <w:uiPriority w:val="0"/>
    <w:pPr>
      <w:spacing w:line="560" w:lineRule="exact"/>
      <w:ind w:firstLine="420" w:firstLineChars="200"/>
      <w:jc w:val="both"/>
    </w:pPr>
    <w:rPr>
      <w:rFonts w:ascii="仿宋" w:hAnsi="仿宋" w:eastAsia="仿宋_GB2312" w:cs="仿宋"/>
      <w:sz w:val="32"/>
      <w:szCs w:val="3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fa7d8eb9-10ec-4228-8235-aca0cf4ba520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76954F99</paraID>
      <start>39</start>
      <end>42</end>
      <status>unmodified</status>
      <modifiedWord/>
      <trackRevisions>false</trackRevisions>
    </reviewItem>
    <reviewItem>
      <errorID>620de3b8-d93c-40fa-b9f3-a316c1767fed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76954F99</paraID>
      <start>43</start>
      <end>46</end>
      <status>unmodified</status>
      <modifiedWord/>
      <trackRevisions>false</trackRevisions>
    </reviewItem>
    <reviewItem>
      <errorID>375dbe4b-d184-4ac6-a18f-ac769dbc9cf4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76954F99</paraID>
      <start>47</start>
      <end>50</end>
      <status>unmodified</status>
      <modifiedWord/>
      <trackRevisions>false</trackRevisions>
    </reviewItem>
    <reviewItem>
      <errorID>a05983af-3da9-4100-a5c6-f0ef3d8dfa87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76954F99</paraID>
      <start>63</start>
      <end>64</end>
      <status>unmodified</status>
      <modifiedWord/>
      <trackRevisions>false</trackRevisions>
    </reviewItem>
    <reviewItem>
      <errorID>8bd42db1-277d-4de1-aab4-7210d437ad10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76954F99</paraID>
      <start>71</start>
      <end>72</end>
      <status>unmodified</status>
      <modifiedWord/>
      <trackRevisions>false</trackRevisions>
    </reviewItem>
    <reviewItem>
      <errorID>f0a0b9a0-db65-4528-a315-ba47c3e3bcd3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76954F99</paraID>
      <start>79</start>
      <end>80</end>
      <status>unmodified</status>
      <modifiedWord/>
      <trackRevisions>false</trackRevisions>
    </reviewItem>
    <reviewItem>
      <errorID>17b4a115-1254-4ad5-b329-941a91b4689e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76954F99</paraID>
      <start>85</start>
      <end>86</end>
      <status>unmodified</status>
      <modifiedWord/>
      <trackRevisions>false</trackRevisions>
    </reviewItem>
    <reviewItem>
      <errorID>505dca3a-95de-4826-ae70-a70abb67d458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76954F99</paraID>
      <start>93</start>
      <end>94</end>
      <status>unmodified</status>
      <modifiedWord/>
      <trackRevisions>false</trackRevisions>
    </reviewItem>
    <reviewItem>
      <errorID>2d9a5a06-faa6-47fa-b8d1-0c0b30285c03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76954F99</paraID>
      <start>99</start>
      <end>100</end>
      <status>unmodified</status>
      <modifiedWord/>
      <trackRevisions>false</trackRevisions>
    </reviewItem>
    <reviewItem>
      <errorID>b835e232-0fa2-4b18-9c89-d1a43cf38a4e</errorID>
      <errorWord>作好</errorWord>
      <group>L1_Word</group>
      <groupName>字词问题</groupName>
      <ability>L2_Typo</ability>
      <abilityName>字词错误</abilityName>
      <candidateList>
        <item>做好</item>
      </candidateList>
      <explain/>
      <paraID>39CE013E</paraID>
      <start>102</start>
      <end>104</end>
      <status>unmodified</status>
      <modifiedWord/>
      <trackRevisions>false</trackRevisions>
    </reviewItem>
    <reviewItem>
      <errorID>95f023cc-ab78-4dce-8f4e-724ae9899fc4</errorID>
      <errorWord>按规定</errorWord>
      <group>L1_Grammar</group>
      <groupName>语法问题</groupName>
      <ability>L2_Grammar</ability>
      <abilityName>语法错误</abilityName>
      <candidateList>
        <item>并可采取按规定</item>
      </candidateList>
      <explain/>
      <paraID>5BD5828A</paraID>
      <start>82</start>
      <end>85</end>
      <status>unmodified</status>
      <modifiedWord/>
      <trackRevisions>false</trackRevisions>
    </reviewItem>
    <reviewItem>
      <errorID>4b71eba5-3e01-4f3c-8a29-feeddf242c5a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FAD63BB</paraID>
      <start>14</start>
      <end>17</end>
      <status>unmodified</status>
      <modifiedWord/>
      <trackRevisions>false</trackRevisions>
    </reviewItem>
    <reviewItem>
      <errorID>89ed96f1-7478-4b7d-8090-52d8679ec3f7</errorID>
      <errorWord>且</errorWord>
      <group>L1_Punc</group>
      <groupName>标点问题</groupName>
      <ability>L2_Punc_CN</ability>
      <abilityName>标点符号问题</abilityName>
      <candidateList>
        <item>，且</item>
      </candidateList>
      <explain/>
      <paraID> FAD63BB</paraID>
      <start>90</start>
      <end>91</end>
      <status>unmodified</status>
      <modifiedWord/>
      <trackRevisions>false</trackRevisions>
    </reviewItem>
    <reviewItem>
      <errorID>7acde4c3-eabe-4917-a634-080433336275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1C53389C</paraID>
      <start>67</start>
      <end>70</end>
      <status>unmodified</status>
      <modifiedWord/>
      <trackRevisions>false</trackRevisions>
    </reviewItem>
    <reviewItem>
      <errorID>d67bad9b-2cb3-498a-828b-e2f51e5f8803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1C53389C</paraID>
      <start>102</start>
      <end>105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96bc9c-5dbb-4f85-ab0e-a3200eac30a1}">
  <ds:schemaRefs/>
</ds:datastoreItem>
</file>

<file path=docProps/app.xml><?xml version="1.0" encoding="utf-8"?>
<Properties xmlns="http://schemas.openxmlformats.org/officeDocument/2006/extended-properties" xmlns:vt="http://schemas.openxmlformats.org/officeDocument/2006/docPropsVTypes">
  <Pages>8</Pages>
  <Words>3224</Words>
  <Characters>3296</Characters>
  <TotalTime>26</TotalTime>
  <ScaleCrop>false</ScaleCrop>
  <LinksUpToDate>false</LinksUpToDate>
  <CharactersWithSpaces>3363</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2025-08-28T18:06:00Z</dcterms:created>
  <dc:creator>Acer</dc:creator>
  <cp:lastModifiedBy>冯-办公室</cp:lastModifiedBy>
  <cp:lastPrinted>2026-10-12T06:35:00Z</cp:lastPrinted>
  <dcterms:modified xsi:type="dcterms:W3CDTF">2026-10-15T06:42:03Z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2025-09-20T20:38:24Z</vt:filetime>
  </property>
  <property fmtid="{D5CDD505-2E9C-101B-9397-08002B2CF9AE}" pid="4" name="KSOTemplateDocerSaveRecord">
    <vt:lpwstr>eyJoZGlkIjoiNGU1N2QyYzZiMDg2OGM5NDg4NGI4MWQ3MmM2ZTNkODgiLCJ1c2VySWQiOiIzMTI0MjQyNzQifQ==</vt:lpwstr>
  </property>
  <property fmtid="{D5CDD505-2E9C-101B-9397-08002B2CF9AE}" pid="5" name="KSOProductBuildVer">
    <vt:lpwstr>2052-12.1.0.28802</vt:lpwstr>
  </property>
  <property fmtid="{D5CDD505-2E9C-101B-9397-08002B2CF9AE}" pid="6" name="ICV">
    <vt:lpwstr>CA9D87FCCF804B81B37823FCFE899AD5_13</vt:lpwstr>
  </property>
</Properties>
</file>